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70" w:rsidRDefault="00514770" w:rsidP="005012ED">
      <w:pPr>
        <w:pStyle w:val="CommentText"/>
        <w:jc w:val="both"/>
        <w:rPr>
          <w:b/>
          <w:bCs/>
          <w:sz w:val="24"/>
          <w:szCs w:val="24"/>
          <w:u w:val="single"/>
        </w:rPr>
      </w:pPr>
    </w:p>
    <w:p w:rsidR="00514770" w:rsidRDefault="00514770" w:rsidP="005012ED">
      <w:pPr>
        <w:pStyle w:val="CommentText"/>
        <w:jc w:val="both"/>
        <w:rPr>
          <w:b/>
          <w:bCs/>
          <w:sz w:val="24"/>
          <w:szCs w:val="24"/>
          <w:u w:val="single"/>
        </w:rPr>
      </w:pPr>
    </w:p>
    <w:p w:rsidR="00514770" w:rsidRDefault="00514770" w:rsidP="005012ED">
      <w:pPr>
        <w:pStyle w:val="CommentText"/>
        <w:jc w:val="both"/>
        <w:rPr>
          <w:b/>
          <w:bCs/>
          <w:sz w:val="24"/>
          <w:szCs w:val="24"/>
          <w:u w:val="single"/>
        </w:rPr>
      </w:pPr>
    </w:p>
    <w:p w:rsidR="00514770" w:rsidRDefault="00514770" w:rsidP="005012ED">
      <w:pPr>
        <w:pStyle w:val="CommentText"/>
        <w:jc w:val="both"/>
        <w:rPr>
          <w:b/>
          <w:bCs/>
          <w:sz w:val="24"/>
          <w:szCs w:val="24"/>
          <w:u w:val="single"/>
        </w:rPr>
      </w:pPr>
    </w:p>
    <w:p w:rsidR="007005E3" w:rsidRDefault="00CE2674" w:rsidP="005012ED">
      <w:pPr>
        <w:pStyle w:val="CommentText"/>
        <w:jc w:val="both"/>
        <w:rPr>
          <w:b/>
          <w:bCs/>
          <w:sz w:val="24"/>
          <w:szCs w:val="24"/>
          <w:u w:val="single"/>
        </w:rPr>
      </w:pPr>
      <w:r>
        <w:rPr>
          <w:noProof/>
          <w:sz w:val="24"/>
          <w:szCs w:val="24"/>
          <w:lang w:eastAsia="en-GB"/>
        </w:rPr>
        <mc:AlternateContent>
          <mc:Choice Requires="wps">
            <w:drawing>
              <wp:anchor distT="0" distB="0" distL="114300" distR="114300" simplePos="0" relativeHeight="251657728" behindDoc="0" locked="0" layoutInCell="1" allowOverlap="1" wp14:anchorId="4D1DDD60" wp14:editId="0DC27948">
                <wp:simplePos x="0" y="0"/>
                <wp:positionH relativeFrom="column">
                  <wp:posOffset>5029200</wp:posOffset>
                </wp:positionH>
                <wp:positionV relativeFrom="paragraph">
                  <wp:posOffset>-683895</wp:posOffset>
                </wp:positionV>
                <wp:extent cx="1143000" cy="1485900"/>
                <wp:effectExtent l="0" t="190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B9" w:rsidRDefault="00B977B9" w:rsidP="005C2DF7">
                            <w:r>
                              <w:rPr>
                                <w:noProof/>
                                <w:lang w:eastAsia="en-GB"/>
                              </w:rPr>
                              <w:drawing>
                                <wp:inline distT="0" distB="0" distL="0" distR="0" wp14:anchorId="52C65C5B" wp14:editId="1ED1F87C">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tqhAIAABE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Ac&#10;GhtqhAIAABEFAAAOAAAAAAAAAAAAAAAAAC4CAABkcnMvZTJvRG9jLnhtbFBLAQItABQABgAIAAAA&#10;IQA8kLBT3wAAAAwBAAAPAAAAAAAAAAAAAAAAAN4EAABkcnMvZG93bnJldi54bWxQSwUGAAAAAAQA&#10;BADzAAAA6gUAAAAA&#10;" stroked="f">
                <v:textbox>
                  <w:txbxContent>
                    <w:p w:rsidR="00B977B9" w:rsidRDefault="00B977B9" w:rsidP="005C2DF7">
                      <w:r>
                        <w:rPr>
                          <w:noProof/>
                          <w:lang w:eastAsia="en-GB"/>
                        </w:rPr>
                        <w:drawing>
                          <wp:inline distT="0" distB="0" distL="0" distR="0" wp14:anchorId="52C65C5B" wp14:editId="1ED1F87C">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r w:rsidR="005C2DF7" w:rsidRPr="00090EC2">
        <w:rPr>
          <w:b/>
          <w:bCs/>
          <w:sz w:val="24"/>
          <w:szCs w:val="24"/>
          <w:u w:val="single"/>
        </w:rPr>
        <w:t xml:space="preserve"> </w:t>
      </w:r>
    </w:p>
    <w:p w:rsidR="007005E3" w:rsidRDefault="007005E3" w:rsidP="005012ED">
      <w:pPr>
        <w:jc w:val="both"/>
        <w:rPr>
          <w:rFonts w:cs="Arial"/>
        </w:rPr>
      </w:pPr>
    </w:p>
    <w:tbl>
      <w:tblPr>
        <w:tblW w:w="9406" w:type="dxa"/>
        <w:tblInd w:w="108" w:type="dxa"/>
        <w:tblLayout w:type="fixed"/>
        <w:tblLook w:val="04A0" w:firstRow="1" w:lastRow="0" w:firstColumn="1" w:lastColumn="0" w:noHBand="0" w:noVBand="1"/>
      </w:tblPr>
      <w:tblGrid>
        <w:gridCol w:w="2438"/>
        <w:gridCol w:w="913"/>
        <w:gridCol w:w="5493"/>
        <w:gridCol w:w="562"/>
      </w:tblGrid>
      <w:tr w:rsidR="007005E3" w:rsidRPr="003D7321" w:rsidTr="007552D3">
        <w:trPr>
          <w:gridAfter w:val="1"/>
          <w:wAfter w:w="562" w:type="dxa"/>
        </w:trPr>
        <w:tc>
          <w:tcPr>
            <w:tcW w:w="2438" w:type="dxa"/>
            <w:shd w:val="clear" w:color="auto" w:fill="auto"/>
          </w:tcPr>
          <w:p w:rsidR="007005E3" w:rsidRPr="003D7321" w:rsidRDefault="007005E3" w:rsidP="005012ED">
            <w:pPr>
              <w:jc w:val="both"/>
              <w:rPr>
                <w:rStyle w:val="Firstpagetablebold"/>
                <w:rFonts w:cs="Arial"/>
              </w:rPr>
            </w:pPr>
            <w:r w:rsidRPr="003D7321">
              <w:rPr>
                <w:rStyle w:val="Firstpagetablebold"/>
                <w:rFonts w:cs="Arial"/>
              </w:rPr>
              <w:t>To:</w:t>
            </w:r>
          </w:p>
        </w:tc>
        <w:tc>
          <w:tcPr>
            <w:tcW w:w="6406" w:type="dxa"/>
            <w:gridSpan w:val="2"/>
            <w:shd w:val="clear" w:color="auto" w:fill="auto"/>
          </w:tcPr>
          <w:p w:rsidR="007005E3" w:rsidRPr="00BE2ECF" w:rsidRDefault="007005E3" w:rsidP="00355A62">
            <w:pPr>
              <w:jc w:val="both"/>
              <w:rPr>
                <w:rStyle w:val="Firstpagetablebold"/>
                <w:rFonts w:cs="Arial"/>
              </w:rPr>
            </w:pPr>
            <w:r w:rsidRPr="00BE2ECF">
              <w:rPr>
                <w:rStyle w:val="Firstpagetablebold"/>
                <w:rFonts w:cs="Arial"/>
              </w:rPr>
              <w:t>C</w:t>
            </w:r>
            <w:r w:rsidR="00355A62" w:rsidRPr="00BE2ECF">
              <w:rPr>
                <w:rStyle w:val="Firstpagetablebold"/>
                <w:rFonts w:cs="Arial"/>
              </w:rPr>
              <w:t xml:space="preserve">abinet </w:t>
            </w:r>
          </w:p>
        </w:tc>
      </w:tr>
      <w:tr w:rsidR="007005E3" w:rsidRPr="003D7321" w:rsidTr="007552D3">
        <w:trPr>
          <w:gridAfter w:val="1"/>
          <w:wAfter w:w="562" w:type="dxa"/>
        </w:trPr>
        <w:tc>
          <w:tcPr>
            <w:tcW w:w="2438" w:type="dxa"/>
            <w:shd w:val="clear" w:color="auto" w:fill="auto"/>
          </w:tcPr>
          <w:p w:rsidR="007005E3" w:rsidRPr="003D7321" w:rsidRDefault="007005E3" w:rsidP="005012ED">
            <w:pPr>
              <w:jc w:val="both"/>
              <w:rPr>
                <w:rStyle w:val="Firstpagetablebold"/>
                <w:rFonts w:cs="Arial"/>
              </w:rPr>
            </w:pPr>
            <w:r w:rsidRPr="003D7321">
              <w:rPr>
                <w:rStyle w:val="Firstpagetablebold"/>
                <w:rFonts w:cs="Arial"/>
              </w:rPr>
              <w:t>Date:</w:t>
            </w:r>
          </w:p>
        </w:tc>
        <w:tc>
          <w:tcPr>
            <w:tcW w:w="6406" w:type="dxa"/>
            <w:gridSpan w:val="2"/>
            <w:shd w:val="clear" w:color="auto" w:fill="auto"/>
          </w:tcPr>
          <w:p w:rsidR="007005E3" w:rsidRPr="00BE2ECF" w:rsidRDefault="00C971A6" w:rsidP="00C971A6">
            <w:pPr>
              <w:jc w:val="both"/>
              <w:rPr>
                <w:rFonts w:cs="Arial"/>
                <w:b/>
              </w:rPr>
            </w:pPr>
            <w:r w:rsidRPr="00BE2ECF">
              <w:rPr>
                <w:rFonts w:cs="Arial"/>
                <w:b/>
              </w:rPr>
              <w:t xml:space="preserve">9 October </w:t>
            </w:r>
            <w:r w:rsidR="007005E3" w:rsidRPr="00BE2ECF">
              <w:rPr>
                <w:rFonts w:cs="Arial"/>
                <w:b/>
              </w:rPr>
              <w:t>2019</w:t>
            </w:r>
          </w:p>
        </w:tc>
      </w:tr>
      <w:tr w:rsidR="007005E3" w:rsidRPr="003D7321" w:rsidTr="007552D3">
        <w:trPr>
          <w:gridAfter w:val="1"/>
          <w:wAfter w:w="562" w:type="dxa"/>
        </w:trPr>
        <w:tc>
          <w:tcPr>
            <w:tcW w:w="2438" w:type="dxa"/>
            <w:shd w:val="clear" w:color="auto" w:fill="auto"/>
          </w:tcPr>
          <w:p w:rsidR="007005E3" w:rsidRPr="003D7321" w:rsidRDefault="007005E3" w:rsidP="005012ED">
            <w:pPr>
              <w:jc w:val="both"/>
              <w:rPr>
                <w:rStyle w:val="Firstpagetablebold"/>
                <w:rFonts w:cs="Arial"/>
              </w:rPr>
            </w:pPr>
            <w:r w:rsidRPr="003D7321">
              <w:rPr>
                <w:rStyle w:val="Firstpagetablebold"/>
                <w:rFonts w:cs="Arial"/>
              </w:rPr>
              <w:t>Report of:</w:t>
            </w:r>
          </w:p>
        </w:tc>
        <w:tc>
          <w:tcPr>
            <w:tcW w:w="6406" w:type="dxa"/>
            <w:gridSpan w:val="2"/>
            <w:shd w:val="clear" w:color="auto" w:fill="auto"/>
          </w:tcPr>
          <w:p w:rsidR="007005E3" w:rsidRPr="00BE2ECF" w:rsidRDefault="0006480F" w:rsidP="005012ED">
            <w:pPr>
              <w:jc w:val="both"/>
              <w:rPr>
                <w:rStyle w:val="Firstpagetablebold"/>
                <w:rFonts w:cs="Arial"/>
              </w:rPr>
            </w:pPr>
            <w:r w:rsidRPr="00BE2ECF">
              <w:rPr>
                <w:rStyle w:val="Firstpagetablebold"/>
                <w:rFonts w:cs="Arial"/>
              </w:rPr>
              <w:t xml:space="preserve">The </w:t>
            </w:r>
            <w:r w:rsidR="007005E3" w:rsidRPr="00BE2ECF">
              <w:rPr>
                <w:rStyle w:val="Firstpagetablebold"/>
                <w:rFonts w:cs="Arial"/>
              </w:rPr>
              <w:t xml:space="preserve">Head of </w:t>
            </w:r>
            <w:bookmarkStart w:id="0" w:name="_GoBack"/>
            <w:bookmarkEnd w:id="0"/>
            <w:r w:rsidR="007005E3" w:rsidRPr="00BE2ECF">
              <w:rPr>
                <w:rStyle w:val="Firstpagetablebold"/>
                <w:rFonts w:cs="Arial"/>
              </w:rPr>
              <w:t>Community Services</w:t>
            </w:r>
          </w:p>
        </w:tc>
      </w:tr>
      <w:tr w:rsidR="007005E3" w:rsidRPr="003D7321" w:rsidTr="007552D3">
        <w:trPr>
          <w:gridAfter w:val="1"/>
          <w:wAfter w:w="562" w:type="dxa"/>
        </w:trPr>
        <w:tc>
          <w:tcPr>
            <w:tcW w:w="2438" w:type="dxa"/>
            <w:shd w:val="clear" w:color="auto" w:fill="auto"/>
          </w:tcPr>
          <w:p w:rsidR="007005E3" w:rsidRPr="003D7321" w:rsidRDefault="007005E3" w:rsidP="005012ED">
            <w:pPr>
              <w:jc w:val="both"/>
              <w:rPr>
                <w:rStyle w:val="Firstpagetablebold"/>
                <w:rFonts w:cs="Arial"/>
              </w:rPr>
            </w:pPr>
            <w:r w:rsidRPr="003D7321">
              <w:rPr>
                <w:rStyle w:val="Firstpagetablebold"/>
                <w:rFonts w:cs="Arial"/>
              </w:rPr>
              <w:t xml:space="preserve">Title of Report: </w:t>
            </w:r>
          </w:p>
        </w:tc>
        <w:tc>
          <w:tcPr>
            <w:tcW w:w="6406" w:type="dxa"/>
            <w:gridSpan w:val="2"/>
            <w:shd w:val="clear" w:color="auto" w:fill="auto"/>
          </w:tcPr>
          <w:p w:rsidR="007005E3" w:rsidRPr="00BE2ECF" w:rsidRDefault="00355A62" w:rsidP="005012ED">
            <w:pPr>
              <w:jc w:val="both"/>
              <w:rPr>
                <w:rStyle w:val="Firstpagetablebold"/>
                <w:rFonts w:cs="Arial"/>
              </w:rPr>
            </w:pPr>
            <w:r w:rsidRPr="00BE2ECF">
              <w:rPr>
                <w:rStyle w:val="Firstpagetablebold"/>
                <w:rFonts w:cs="Arial"/>
              </w:rPr>
              <w:t xml:space="preserve">Leisure concessions </w:t>
            </w:r>
          </w:p>
          <w:p w:rsidR="007005E3" w:rsidRPr="003D7321" w:rsidRDefault="007005E3" w:rsidP="005012ED">
            <w:pPr>
              <w:jc w:val="both"/>
              <w:rPr>
                <w:rStyle w:val="Firstpagetablebold"/>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406" w:type="dxa"/>
            <w:gridSpan w:val="4"/>
            <w:tcBorders>
              <w:bottom w:val="single" w:sz="8" w:space="0" w:color="000000"/>
            </w:tcBorders>
            <w:hideMark/>
          </w:tcPr>
          <w:p w:rsidR="007005E3" w:rsidRPr="003D7321" w:rsidRDefault="007005E3" w:rsidP="005012ED">
            <w:pPr>
              <w:jc w:val="both"/>
              <w:rPr>
                <w:rStyle w:val="Firstpagetablebold"/>
                <w:rFonts w:cs="Arial"/>
              </w:rPr>
            </w:pPr>
            <w:r w:rsidRPr="003D7321">
              <w:rPr>
                <w:rStyle w:val="Firstpagetablebold"/>
                <w:rFonts w:cs="Arial"/>
              </w:rPr>
              <w:t>Summary and recommendations</w:t>
            </w: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single" w:sz="8" w:space="0" w:color="000000"/>
              <w:left w:val="single" w:sz="8" w:space="0" w:color="000000"/>
              <w:bottom w:val="nil"/>
              <w:right w:val="nil"/>
            </w:tcBorders>
            <w:hideMark/>
          </w:tcPr>
          <w:p w:rsidR="007005E3" w:rsidRPr="003D7321" w:rsidRDefault="007005E3" w:rsidP="005012ED">
            <w:pPr>
              <w:jc w:val="both"/>
              <w:rPr>
                <w:rStyle w:val="Firstpagetablebold"/>
                <w:rFonts w:cs="Arial"/>
              </w:rPr>
            </w:pPr>
            <w:r w:rsidRPr="003D7321">
              <w:rPr>
                <w:rStyle w:val="Firstpagetablebold"/>
                <w:rFonts w:cs="Arial"/>
              </w:rPr>
              <w:t>Purpose of report:</w:t>
            </w:r>
          </w:p>
        </w:tc>
        <w:tc>
          <w:tcPr>
            <w:tcW w:w="6055" w:type="dxa"/>
            <w:gridSpan w:val="2"/>
            <w:tcBorders>
              <w:top w:val="single" w:sz="8" w:space="0" w:color="000000"/>
              <w:left w:val="nil"/>
              <w:bottom w:val="nil"/>
              <w:right w:val="single" w:sz="8" w:space="0" w:color="000000"/>
            </w:tcBorders>
            <w:hideMark/>
          </w:tcPr>
          <w:p w:rsidR="007005E3" w:rsidRDefault="00355A62" w:rsidP="00355A62">
            <w:pPr>
              <w:jc w:val="both"/>
              <w:rPr>
                <w:rFonts w:cs="Arial"/>
              </w:rPr>
            </w:pPr>
            <w:r>
              <w:rPr>
                <w:rFonts w:cs="Arial"/>
              </w:rPr>
              <w:t xml:space="preserve">To present recommendations to </w:t>
            </w:r>
            <w:r w:rsidR="0077492B">
              <w:rPr>
                <w:rFonts w:cs="Arial"/>
              </w:rPr>
              <w:t xml:space="preserve">improve how </w:t>
            </w:r>
            <w:r>
              <w:rPr>
                <w:rFonts w:cs="Arial"/>
              </w:rPr>
              <w:t>leisure concessions</w:t>
            </w:r>
            <w:r w:rsidR="0077492B">
              <w:rPr>
                <w:rFonts w:cs="Arial"/>
              </w:rPr>
              <w:t xml:space="preserve"> are used</w:t>
            </w:r>
            <w:r>
              <w:rPr>
                <w:rFonts w:cs="Arial"/>
              </w:rPr>
              <w:t>.</w:t>
            </w:r>
          </w:p>
          <w:p w:rsidR="00355A62" w:rsidRPr="003D7321" w:rsidRDefault="00355A62" w:rsidP="00355A62">
            <w:pPr>
              <w:jc w:val="both"/>
              <w:rPr>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7005E3" w:rsidRPr="003D7321" w:rsidRDefault="007005E3" w:rsidP="005012ED">
            <w:pPr>
              <w:jc w:val="both"/>
              <w:rPr>
                <w:rStyle w:val="Firstpagetablebold"/>
                <w:rFonts w:cs="Arial"/>
              </w:rPr>
            </w:pPr>
            <w:r w:rsidRPr="003D7321">
              <w:rPr>
                <w:rStyle w:val="Firstpagetablebold"/>
                <w:rFonts w:cs="Arial"/>
              </w:rPr>
              <w:t>Key decision:</w:t>
            </w:r>
          </w:p>
        </w:tc>
        <w:tc>
          <w:tcPr>
            <w:tcW w:w="6055" w:type="dxa"/>
            <w:gridSpan w:val="2"/>
            <w:tcBorders>
              <w:top w:val="nil"/>
              <w:left w:val="nil"/>
              <w:bottom w:val="nil"/>
              <w:right w:val="single" w:sz="8" w:space="0" w:color="000000"/>
            </w:tcBorders>
            <w:hideMark/>
          </w:tcPr>
          <w:p w:rsidR="007005E3" w:rsidRDefault="007005E3" w:rsidP="005012ED">
            <w:pPr>
              <w:jc w:val="both"/>
              <w:rPr>
                <w:rFonts w:cs="Arial"/>
              </w:rPr>
            </w:pPr>
            <w:r w:rsidRPr="003D7321">
              <w:rPr>
                <w:rFonts w:cs="Arial"/>
              </w:rPr>
              <w:t>Yes</w:t>
            </w:r>
          </w:p>
          <w:p w:rsidR="007005E3" w:rsidRPr="003D7321" w:rsidRDefault="007005E3" w:rsidP="00D813E4">
            <w:pPr>
              <w:jc w:val="both"/>
              <w:rPr>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7005E3" w:rsidRPr="003D7321" w:rsidRDefault="003D5042" w:rsidP="005012ED">
            <w:pPr>
              <w:jc w:val="both"/>
              <w:rPr>
                <w:rStyle w:val="Firstpagetablebold"/>
                <w:rFonts w:cs="Arial"/>
              </w:rPr>
            </w:pPr>
            <w:r>
              <w:rPr>
                <w:rStyle w:val="Firstpagetablebold"/>
                <w:rFonts w:cs="Arial"/>
              </w:rPr>
              <w:t xml:space="preserve">Cabinet </w:t>
            </w:r>
            <w:r w:rsidR="007005E3" w:rsidRPr="003D7321">
              <w:rPr>
                <w:rStyle w:val="Firstpagetablebold"/>
                <w:rFonts w:cs="Arial"/>
              </w:rPr>
              <w:t>Member:</w:t>
            </w:r>
          </w:p>
        </w:tc>
        <w:tc>
          <w:tcPr>
            <w:tcW w:w="6055" w:type="dxa"/>
            <w:gridSpan w:val="2"/>
            <w:tcBorders>
              <w:top w:val="nil"/>
              <w:left w:val="nil"/>
              <w:bottom w:val="nil"/>
              <w:right w:val="single" w:sz="8" w:space="0" w:color="000000"/>
            </w:tcBorders>
            <w:hideMark/>
          </w:tcPr>
          <w:p w:rsidR="007005E3" w:rsidRPr="00481735" w:rsidRDefault="007005E3" w:rsidP="005012ED">
            <w:pPr>
              <w:jc w:val="both"/>
              <w:rPr>
                <w:rFonts w:cs="Arial"/>
              </w:rPr>
            </w:pPr>
            <w:r w:rsidRPr="003D7321">
              <w:rPr>
                <w:rFonts w:cs="Arial"/>
              </w:rPr>
              <w:t xml:space="preserve">Councillor </w:t>
            </w:r>
            <w:r>
              <w:rPr>
                <w:rFonts w:cs="Arial"/>
              </w:rPr>
              <w:t>Linda Smith (</w:t>
            </w:r>
            <w:r w:rsidRPr="00481735">
              <w:rPr>
                <w:bCs/>
              </w:rPr>
              <w:t>Deputy Leader</w:t>
            </w:r>
            <w:r>
              <w:rPr>
                <w:bCs/>
              </w:rPr>
              <w:t xml:space="preserve">) </w:t>
            </w:r>
            <w:r w:rsidRPr="00481735">
              <w:rPr>
                <w:bCs/>
              </w:rPr>
              <w:t>- Leisure and Housing</w:t>
            </w:r>
          </w:p>
          <w:p w:rsidR="007005E3" w:rsidRPr="003D7321" w:rsidRDefault="007005E3" w:rsidP="005012ED">
            <w:pPr>
              <w:jc w:val="both"/>
              <w:rPr>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tcPr>
          <w:p w:rsidR="007005E3" w:rsidRPr="003D7321" w:rsidRDefault="007005E3" w:rsidP="005012ED">
            <w:pPr>
              <w:jc w:val="both"/>
              <w:rPr>
                <w:rStyle w:val="Firstpagetablebold"/>
                <w:rFonts w:cs="Arial"/>
              </w:rPr>
            </w:pPr>
            <w:r w:rsidRPr="003D7321">
              <w:rPr>
                <w:rStyle w:val="Firstpagetablebold"/>
                <w:rFonts w:cs="Arial"/>
              </w:rPr>
              <w:t>Corporate Priority:</w:t>
            </w:r>
          </w:p>
        </w:tc>
        <w:tc>
          <w:tcPr>
            <w:tcW w:w="6055" w:type="dxa"/>
            <w:gridSpan w:val="2"/>
            <w:tcBorders>
              <w:top w:val="nil"/>
              <w:left w:val="nil"/>
              <w:bottom w:val="nil"/>
              <w:right w:val="single" w:sz="8" w:space="0" w:color="000000"/>
            </w:tcBorders>
          </w:tcPr>
          <w:p w:rsidR="007005E3" w:rsidRDefault="007005E3" w:rsidP="005012ED">
            <w:pPr>
              <w:jc w:val="both"/>
            </w:pPr>
            <w:r>
              <w:t>Strong Active Communiti</w:t>
            </w:r>
            <w:r w:rsidR="005A462C">
              <w:t>es, Efficient Effective Council.</w:t>
            </w:r>
          </w:p>
          <w:p w:rsidR="007005E3" w:rsidRPr="003D7321" w:rsidRDefault="007005E3" w:rsidP="005012ED">
            <w:pPr>
              <w:jc w:val="both"/>
              <w:rPr>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7005E3" w:rsidRPr="003D7321" w:rsidRDefault="007005E3" w:rsidP="005012ED">
            <w:pPr>
              <w:jc w:val="both"/>
              <w:rPr>
                <w:rStyle w:val="Firstpagetablebold"/>
                <w:rFonts w:cs="Arial"/>
              </w:rPr>
            </w:pPr>
            <w:r w:rsidRPr="003D7321">
              <w:rPr>
                <w:rStyle w:val="Firstpagetablebold"/>
                <w:rFonts w:cs="Arial"/>
              </w:rPr>
              <w:t>Policy Framework:</w:t>
            </w:r>
          </w:p>
        </w:tc>
        <w:tc>
          <w:tcPr>
            <w:tcW w:w="6055" w:type="dxa"/>
            <w:gridSpan w:val="2"/>
            <w:tcBorders>
              <w:top w:val="nil"/>
              <w:left w:val="nil"/>
              <w:bottom w:val="nil"/>
              <w:right w:val="single" w:sz="8" w:space="0" w:color="000000"/>
            </w:tcBorders>
            <w:hideMark/>
          </w:tcPr>
          <w:p w:rsidR="007005E3" w:rsidRDefault="007005E3" w:rsidP="005012ED">
            <w:pPr>
              <w:jc w:val="both"/>
            </w:pPr>
            <w:r>
              <w:t>Leisure and Wellbeing Strategy, 2015 to 2020.</w:t>
            </w:r>
          </w:p>
          <w:p w:rsidR="007005E3" w:rsidRPr="003D7321" w:rsidRDefault="007005E3" w:rsidP="005012ED">
            <w:pPr>
              <w:jc w:val="both"/>
              <w:rPr>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406" w:type="dxa"/>
            <w:gridSpan w:val="4"/>
            <w:tcBorders>
              <w:bottom w:val="single" w:sz="8" w:space="0" w:color="000000"/>
            </w:tcBorders>
          </w:tcPr>
          <w:p w:rsidR="007005E3" w:rsidRPr="003D7321" w:rsidRDefault="007005E3" w:rsidP="00B3515F">
            <w:pPr>
              <w:jc w:val="both"/>
              <w:rPr>
                <w:rFonts w:cs="Arial"/>
              </w:rPr>
            </w:pPr>
            <w:r w:rsidRPr="003D7321">
              <w:rPr>
                <w:rStyle w:val="Firstpagetablebold"/>
                <w:rFonts w:cs="Arial"/>
              </w:rPr>
              <w:t>Recommendations:</w:t>
            </w:r>
            <w:r w:rsidR="00D813E4">
              <w:rPr>
                <w:rStyle w:val="Firstpagetablebold"/>
                <w:rFonts w:cs="Arial"/>
              </w:rPr>
              <w:t xml:space="preserve"> </w:t>
            </w:r>
            <w:r w:rsidRPr="005A23F8">
              <w:rPr>
                <w:rStyle w:val="Firstpagetablebold"/>
                <w:rFonts w:cs="Arial"/>
                <w:b w:val="0"/>
              </w:rPr>
              <w:t xml:space="preserve">That the </w:t>
            </w:r>
            <w:r w:rsidR="00C46292" w:rsidRPr="005A23F8">
              <w:rPr>
                <w:rStyle w:val="Firstpagetablebold"/>
                <w:rFonts w:cs="Arial"/>
                <w:b w:val="0"/>
              </w:rPr>
              <w:t>Cabinet</w:t>
            </w:r>
            <w:r w:rsidRPr="005A23F8">
              <w:rPr>
                <w:rStyle w:val="Firstpagetablebold"/>
                <w:rFonts w:cs="Arial"/>
                <w:b w:val="0"/>
              </w:rPr>
              <w:t xml:space="preserve"> resolves to:</w:t>
            </w:r>
          </w:p>
        </w:tc>
      </w:tr>
      <w:tr w:rsidR="007005E3" w:rsidRPr="003D7321" w:rsidTr="00355A6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9406" w:type="dxa"/>
            <w:gridSpan w:val="4"/>
            <w:tcBorders>
              <w:top w:val="nil"/>
              <w:left w:val="single" w:sz="8" w:space="0" w:color="000000"/>
              <w:bottom w:val="nil"/>
              <w:right w:val="single" w:sz="8" w:space="0" w:color="000000"/>
            </w:tcBorders>
          </w:tcPr>
          <w:p w:rsidR="00D813E4" w:rsidRPr="00D813E4" w:rsidRDefault="00A32C83" w:rsidP="00D813E4">
            <w:pPr>
              <w:pStyle w:val="ListParagraph"/>
              <w:numPr>
                <w:ilvl w:val="0"/>
                <w:numId w:val="7"/>
              </w:numPr>
              <w:jc w:val="both"/>
              <w:rPr>
                <w:rStyle w:val="Firstpagetablebold"/>
                <w:b w:val="0"/>
              </w:rPr>
            </w:pPr>
            <w:r w:rsidRPr="00D813E4">
              <w:rPr>
                <w:rStyle w:val="Firstpagetablebold"/>
              </w:rPr>
              <w:t>Approve</w:t>
            </w:r>
            <w:r w:rsidRPr="00D813E4">
              <w:rPr>
                <w:rStyle w:val="Firstpagetablebold"/>
                <w:b w:val="0"/>
              </w:rPr>
              <w:t xml:space="preserve"> u</w:t>
            </w:r>
            <w:r w:rsidR="0077492B" w:rsidRPr="00D813E4">
              <w:rPr>
                <w:rStyle w:val="Firstpagetablebold"/>
                <w:b w:val="0"/>
              </w:rPr>
              <w:t>se</w:t>
            </w:r>
            <w:r w:rsidRPr="00D813E4">
              <w:rPr>
                <w:rStyle w:val="Firstpagetablebold"/>
                <w:b w:val="0"/>
              </w:rPr>
              <w:t xml:space="preserve"> of </w:t>
            </w:r>
            <w:r w:rsidR="0077492B" w:rsidRPr="00D813E4">
              <w:rPr>
                <w:rStyle w:val="Firstpagetablebold"/>
                <w:b w:val="0"/>
              </w:rPr>
              <w:t xml:space="preserve">the Council Tax </w:t>
            </w:r>
            <w:r w:rsidR="00367DF8" w:rsidRPr="00D813E4">
              <w:rPr>
                <w:rStyle w:val="Firstpagetablebold"/>
                <w:b w:val="0"/>
              </w:rPr>
              <w:t>R</w:t>
            </w:r>
            <w:r w:rsidR="0077492B" w:rsidRPr="00D813E4">
              <w:rPr>
                <w:rStyle w:val="Firstpagetablebold"/>
                <w:b w:val="0"/>
              </w:rPr>
              <w:t>eduction Scheme and</w:t>
            </w:r>
            <w:r w:rsidRPr="00D813E4">
              <w:rPr>
                <w:rStyle w:val="Firstpagetablebold"/>
                <w:b w:val="0"/>
              </w:rPr>
              <w:t xml:space="preserve"> or </w:t>
            </w:r>
            <w:r w:rsidR="0077492B" w:rsidRPr="00D813E4">
              <w:rPr>
                <w:rStyle w:val="Firstpagetablebold"/>
                <w:b w:val="0"/>
              </w:rPr>
              <w:t xml:space="preserve">the housing element of Universal </w:t>
            </w:r>
            <w:r w:rsidRPr="00D813E4">
              <w:rPr>
                <w:rStyle w:val="Firstpagetablebold"/>
                <w:b w:val="0"/>
              </w:rPr>
              <w:t>Credit as the primary criteria for concessions</w:t>
            </w:r>
            <w:r w:rsidR="00B3515F" w:rsidRPr="00D813E4">
              <w:rPr>
                <w:rStyle w:val="Firstpagetablebold"/>
                <w:b w:val="0"/>
              </w:rPr>
              <w:t>;</w:t>
            </w:r>
          </w:p>
          <w:p w:rsidR="00D813E4" w:rsidRPr="00D813E4" w:rsidRDefault="00A32C83" w:rsidP="002A5FAB">
            <w:pPr>
              <w:pStyle w:val="ListParagraph"/>
              <w:numPr>
                <w:ilvl w:val="0"/>
                <w:numId w:val="7"/>
              </w:numPr>
            </w:pPr>
            <w:r w:rsidRPr="00D813E4">
              <w:rPr>
                <w:rStyle w:val="Firstpagetablebold"/>
              </w:rPr>
              <w:t>Approve</w:t>
            </w:r>
            <w:r w:rsidRPr="00D813E4">
              <w:rPr>
                <w:rStyle w:val="Firstpagetablebold"/>
                <w:b w:val="0"/>
              </w:rPr>
              <w:t xml:space="preserve"> </w:t>
            </w:r>
            <w:r w:rsidR="005A462C" w:rsidRPr="00D813E4">
              <w:rPr>
                <w:rStyle w:val="Firstpagetablebold"/>
                <w:b w:val="0"/>
              </w:rPr>
              <w:t xml:space="preserve"> </w:t>
            </w:r>
            <w:r w:rsidRPr="00D813E4">
              <w:rPr>
                <w:rStyle w:val="Firstpagetablebold"/>
                <w:b w:val="0"/>
              </w:rPr>
              <w:t>i</w:t>
            </w:r>
            <w:r w:rsidR="0077492B" w:rsidRPr="00D813E4">
              <w:rPr>
                <w:rStyle w:val="Firstpagetablebold"/>
                <w:b w:val="0"/>
              </w:rPr>
              <w:t>mplement</w:t>
            </w:r>
            <w:r w:rsidRPr="00D813E4">
              <w:rPr>
                <w:rStyle w:val="Firstpagetablebold"/>
                <w:b w:val="0"/>
              </w:rPr>
              <w:t xml:space="preserve">ation of </w:t>
            </w:r>
            <w:r w:rsidR="0077492B" w:rsidRPr="00D813E4">
              <w:rPr>
                <w:rStyle w:val="Firstpagetablebold"/>
                <w:b w:val="0"/>
              </w:rPr>
              <w:t xml:space="preserve"> the changes shown in </w:t>
            </w:r>
            <w:r w:rsidR="00DA6FE1" w:rsidRPr="00D813E4">
              <w:rPr>
                <w:rStyle w:val="Firstpagetablebold"/>
                <w:b w:val="0"/>
              </w:rPr>
              <w:t>A</w:t>
            </w:r>
            <w:r w:rsidR="0077492B" w:rsidRPr="00D813E4">
              <w:rPr>
                <w:rStyle w:val="Firstpagetablebold"/>
                <w:b w:val="0"/>
              </w:rPr>
              <w:t>ppendix</w:t>
            </w:r>
            <w:r w:rsidR="00367DF8" w:rsidRPr="00D813E4">
              <w:rPr>
                <w:rStyle w:val="Firstpagetablebold"/>
                <w:b w:val="0"/>
              </w:rPr>
              <w:t xml:space="preserve"> </w:t>
            </w:r>
            <w:r w:rsidR="00C46292" w:rsidRPr="00D813E4">
              <w:rPr>
                <w:rStyle w:val="Firstpagetablebold"/>
                <w:b w:val="0"/>
              </w:rPr>
              <w:t>2</w:t>
            </w:r>
            <w:r w:rsidR="00B3515F" w:rsidRPr="00D813E4">
              <w:rPr>
                <w:rStyle w:val="Firstpagetablebold"/>
                <w:b w:val="0"/>
              </w:rPr>
              <w:t xml:space="preserve"> in parallel with </w:t>
            </w:r>
            <w:r w:rsidR="00B3515F" w:rsidRPr="00D813E4">
              <w:t>promotion of alternative memberships and discounted prices;</w:t>
            </w:r>
          </w:p>
          <w:p w:rsidR="002A5FAB" w:rsidRPr="002A5FAB" w:rsidRDefault="00B3515F" w:rsidP="002A5FAB">
            <w:pPr>
              <w:pStyle w:val="ListParagraph"/>
              <w:numPr>
                <w:ilvl w:val="0"/>
                <w:numId w:val="7"/>
              </w:numPr>
              <w:jc w:val="both"/>
            </w:pPr>
            <w:r w:rsidRPr="00D813E4">
              <w:rPr>
                <w:rStyle w:val="Firstpagetablebold"/>
              </w:rPr>
              <w:t>Agree</w:t>
            </w:r>
            <w:r w:rsidRPr="002A5FAB">
              <w:rPr>
                <w:rStyle w:val="Firstpagetablebold"/>
                <w:b w:val="0"/>
              </w:rPr>
              <w:t xml:space="preserve"> that </w:t>
            </w:r>
            <w:r w:rsidR="0077492B" w:rsidRPr="002A5FAB">
              <w:rPr>
                <w:rStyle w:val="Firstpagetablebold"/>
                <w:b w:val="0"/>
              </w:rPr>
              <w:t>the age that someone is able to qualify for an older person concession</w:t>
            </w:r>
            <w:r w:rsidRPr="002A5FAB">
              <w:rPr>
                <w:rStyle w:val="Firstpagetablebold"/>
                <w:b w:val="0"/>
              </w:rPr>
              <w:t xml:space="preserve"> should be increased </w:t>
            </w:r>
            <w:r w:rsidR="0077492B" w:rsidRPr="002A5FAB">
              <w:rPr>
                <w:rStyle w:val="Firstpagetablebold"/>
                <w:b w:val="0"/>
              </w:rPr>
              <w:t>from 60 to 6</w:t>
            </w:r>
            <w:r w:rsidR="002A5FAB" w:rsidRPr="002A5FAB">
              <w:rPr>
                <w:rStyle w:val="Firstpagetablebold"/>
                <w:b w:val="0"/>
              </w:rPr>
              <w:t xml:space="preserve">5, and then until </w:t>
            </w:r>
            <w:r w:rsidR="002A5FAB" w:rsidRPr="002A5FAB">
              <w:rPr>
                <w:color w:val="000000"/>
              </w:rPr>
              <w:t>it reaches 66 in October 2020 and 67 between 2026 and 2028.</w:t>
            </w:r>
          </w:p>
          <w:p w:rsidR="00B3515F" w:rsidRPr="00D813E4" w:rsidRDefault="00B3515F" w:rsidP="002A5FAB">
            <w:pPr>
              <w:pStyle w:val="ListParagraph"/>
              <w:numPr>
                <w:ilvl w:val="0"/>
                <w:numId w:val="7"/>
              </w:numPr>
              <w:jc w:val="both"/>
            </w:pPr>
            <w:r w:rsidRPr="00D813E4">
              <w:rPr>
                <w:rStyle w:val="Firstpagetablebold"/>
              </w:rPr>
              <w:t>Instruct</w:t>
            </w:r>
            <w:r w:rsidRPr="002A5FAB">
              <w:rPr>
                <w:rStyle w:val="Firstpagetablebold"/>
                <w:b w:val="0"/>
              </w:rPr>
              <w:t xml:space="preserve"> officers to conduct</w:t>
            </w:r>
            <w:r w:rsidRPr="00D813E4">
              <w:t xml:space="preserve"> an annual review of concessionary categories alongside the annual fees and charges process;</w:t>
            </w:r>
          </w:p>
          <w:p w:rsidR="00B3515F" w:rsidRPr="00D813E4" w:rsidRDefault="00B3515F" w:rsidP="00D813E4">
            <w:pPr>
              <w:pStyle w:val="ListParagraph"/>
              <w:numPr>
                <w:ilvl w:val="0"/>
                <w:numId w:val="7"/>
              </w:numPr>
              <w:jc w:val="both"/>
            </w:pPr>
            <w:r w:rsidRPr="00D813E4">
              <w:rPr>
                <w:rFonts w:eastAsia="Times New Roman"/>
                <w:b/>
              </w:rPr>
              <w:t>Instruct</w:t>
            </w:r>
            <w:r w:rsidRPr="00D813E4">
              <w:t xml:space="preserve"> officers to look to implement improvements to the leisure concessions offer from 1</w:t>
            </w:r>
            <w:r w:rsidRPr="00D813E4">
              <w:rPr>
                <w:vertAlign w:val="superscript"/>
              </w:rPr>
              <w:t>st</w:t>
            </w:r>
            <w:r w:rsidRPr="00D813E4">
              <w:t xml:space="preserve"> April 2020; and </w:t>
            </w:r>
          </w:p>
          <w:p w:rsidR="00B3515F" w:rsidRDefault="00B3515F" w:rsidP="00D813E4">
            <w:pPr>
              <w:pStyle w:val="PlainText"/>
              <w:numPr>
                <w:ilvl w:val="0"/>
                <w:numId w:val="7"/>
              </w:numPr>
              <w:jc w:val="both"/>
              <w:rPr>
                <w:rStyle w:val="Firstpagetablebold"/>
                <w:rFonts w:cs="Arial"/>
                <w:b w:val="0"/>
              </w:rPr>
            </w:pPr>
            <w:r w:rsidRPr="00D813E4">
              <w:rPr>
                <w:rFonts w:cs="Arial"/>
                <w:b/>
              </w:rPr>
              <w:t>Instruct</w:t>
            </w:r>
            <w:r>
              <w:rPr>
                <w:rFonts w:cs="Arial"/>
              </w:rPr>
              <w:t xml:space="preserve"> officers to </w:t>
            </w:r>
            <w:r>
              <w:rPr>
                <w:rFonts w:cs="Arial"/>
                <w:bCs/>
                <w:szCs w:val="24"/>
              </w:rPr>
              <w:t>r</w:t>
            </w:r>
            <w:r w:rsidRPr="00050E32">
              <w:rPr>
                <w:rFonts w:cs="Arial"/>
                <w:bCs/>
                <w:szCs w:val="24"/>
              </w:rPr>
              <w:t>eview the target groups and decide any change</w:t>
            </w:r>
            <w:r>
              <w:rPr>
                <w:rFonts w:cs="Arial"/>
                <w:bCs/>
                <w:szCs w:val="24"/>
              </w:rPr>
              <w:t>s</w:t>
            </w:r>
            <w:r w:rsidRPr="00050E32">
              <w:rPr>
                <w:rFonts w:cs="Arial"/>
                <w:bCs/>
                <w:szCs w:val="24"/>
              </w:rPr>
              <w:t xml:space="preserve"> for when the leisure contract is retendered in 2023.</w:t>
            </w:r>
          </w:p>
        </w:tc>
      </w:tr>
      <w:tr w:rsidR="00355A62" w:rsidRPr="003D7321" w:rsidTr="00D813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0"/>
        </w:trPr>
        <w:tc>
          <w:tcPr>
            <w:tcW w:w="9406" w:type="dxa"/>
            <w:gridSpan w:val="4"/>
            <w:tcBorders>
              <w:top w:val="nil"/>
              <w:left w:val="single" w:sz="8" w:space="0" w:color="000000"/>
              <w:bottom w:val="single" w:sz="4" w:space="0" w:color="auto"/>
              <w:right w:val="single" w:sz="8" w:space="0" w:color="000000"/>
            </w:tcBorders>
          </w:tcPr>
          <w:p w:rsidR="00355A62" w:rsidRDefault="00355A62" w:rsidP="005012ED">
            <w:pPr>
              <w:ind w:left="459" w:hanging="459"/>
              <w:jc w:val="both"/>
              <w:rPr>
                <w:rStyle w:val="Firstpagetablebold"/>
                <w:rFonts w:cs="Arial"/>
                <w:b w:val="0"/>
              </w:rPr>
            </w:pPr>
          </w:p>
        </w:tc>
      </w:tr>
    </w:tbl>
    <w:p w:rsidR="007005E3" w:rsidRPr="003D7321" w:rsidRDefault="007005E3" w:rsidP="005012ED">
      <w:pPr>
        <w:jc w:val="both"/>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2"/>
      </w:tblGrid>
      <w:tr w:rsidR="007005E3" w:rsidRPr="003D7321" w:rsidTr="007552D3">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7005E3" w:rsidRPr="003D7321" w:rsidRDefault="007005E3" w:rsidP="005012ED">
            <w:pPr>
              <w:jc w:val="both"/>
              <w:rPr>
                <w:rFonts w:cs="Arial"/>
              </w:rPr>
            </w:pPr>
            <w:r w:rsidRPr="003D7321">
              <w:rPr>
                <w:rStyle w:val="Firstpagetablebold"/>
                <w:rFonts w:cs="Arial"/>
              </w:rPr>
              <w:t>Appendices</w:t>
            </w:r>
          </w:p>
        </w:tc>
      </w:tr>
      <w:tr w:rsidR="007005E3" w:rsidRPr="003D7321" w:rsidTr="007552D3">
        <w:tc>
          <w:tcPr>
            <w:tcW w:w="2374" w:type="dxa"/>
            <w:tcBorders>
              <w:top w:val="single" w:sz="8" w:space="0" w:color="000000"/>
              <w:left w:val="single" w:sz="8" w:space="0" w:color="000000"/>
              <w:bottom w:val="nil"/>
              <w:right w:val="nil"/>
            </w:tcBorders>
            <w:shd w:val="clear" w:color="auto" w:fill="auto"/>
          </w:tcPr>
          <w:p w:rsidR="007005E3" w:rsidRDefault="007005E3" w:rsidP="005012ED">
            <w:pPr>
              <w:jc w:val="both"/>
              <w:rPr>
                <w:rFonts w:cs="Arial"/>
              </w:rPr>
            </w:pPr>
          </w:p>
          <w:p w:rsidR="007005E3" w:rsidRPr="003D7321" w:rsidRDefault="007005E3" w:rsidP="005012ED">
            <w:pPr>
              <w:jc w:val="both"/>
              <w:rPr>
                <w:rFonts w:cs="Arial"/>
              </w:rPr>
            </w:pPr>
            <w:r w:rsidRPr="003D7321">
              <w:rPr>
                <w:rFonts w:cs="Arial"/>
              </w:rPr>
              <w:t>Appendix 1</w:t>
            </w:r>
          </w:p>
        </w:tc>
        <w:tc>
          <w:tcPr>
            <w:tcW w:w="6982" w:type="dxa"/>
            <w:tcBorders>
              <w:top w:val="single" w:sz="8" w:space="0" w:color="000000"/>
              <w:left w:val="nil"/>
              <w:bottom w:val="nil"/>
              <w:right w:val="single" w:sz="8" w:space="0" w:color="000000"/>
            </w:tcBorders>
          </w:tcPr>
          <w:p w:rsidR="007005E3" w:rsidRDefault="007005E3" w:rsidP="005012ED">
            <w:pPr>
              <w:jc w:val="both"/>
              <w:rPr>
                <w:rFonts w:cs="Arial"/>
              </w:rPr>
            </w:pPr>
          </w:p>
          <w:p w:rsidR="007005E3" w:rsidRPr="003D7321" w:rsidRDefault="00B44214" w:rsidP="0006480F">
            <w:pPr>
              <w:jc w:val="both"/>
              <w:rPr>
                <w:rFonts w:cs="Arial"/>
              </w:rPr>
            </w:pPr>
            <w:r w:rsidRPr="00545E38">
              <w:t xml:space="preserve">Leisure </w:t>
            </w:r>
            <w:r w:rsidR="0006480F">
              <w:t>s</w:t>
            </w:r>
            <w:r w:rsidRPr="00545E38">
              <w:t>ites in Oxford</w:t>
            </w:r>
            <w:r w:rsidRPr="00545E38">
              <w:rPr>
                <w:bCs/>
              </w:rPr>
              <w:t xml:space="preserve"> </w:t>
            </w:r>
          </w:p>
        </w:tc>
      </w:tr>
      <w:tr w:rsidR="007005E3" w:rsidRPr="003D7321" w:rsidTr="007552D3">
        <w:tc>
          <w:tcPr>
            <w:tcW w:w="2374" w:type="dxa"/>
            <w:tcBorders>
              <w:top w:val="nil"/>
              <w:left w:val="single" w:sz="8" w:space="0" w:color="000000"/>
              <w:bottom w:val="nil"/>
              <w:right w:val="nil"/>
            </w:tcBorders>
            <w:shd w:val="clear" w:color="auto" w:fill="auto"/>
          </w:tcPr>
          <w:p w:rsidR="007005E3" w:rsidRPr="003D7321" w:rsidRDefault="007005E3" w:rsidP="005012ED">
            <w:pPr>
              <w:jc w:val="both"/>
              <w:rPr>
                <w:rFonts w:cs="Arial"/>
              </w:rPr>
            </w:pPr>
            <w:r w:rsidRPr="003D7321">
              <w:rPr>
                <w:rFonts w:cs="Arial"/>
              </w:rPr>
              <w:t>Appendix 2</w:t>
            </w:r>
          </w:p>
        </w:tc>
        <w:tc>
          <w:tcPr>
            <w:tcW w:w="6982" w:type="dxa"/>
            <w:tcBorders>
              <w:top w:val="nil"/>
              <w:left w:val="nil"/>
              <w:bottom w:val="nil"/>
              <w:right w:val="single" w:sz="8" w:space="0" w:color="000000"/>
            </w:tcBorders>
          </w:tcPr>
          <w:p w:rsidR="007005E3" w:rsidRPr="003D7321" w:rsidRDefault="00B44214" w:rsidP="0006480F">
            <w:pPr>
              <w:jc w:val="both"/>
              <w:rPr>
                <w:rFonts w:cs="Arial"/>
              </w:rPr>
            </w:pPr>
            <w:r w:rsidRPr="00545E38">
              <w:rPr>
                <w:bCs/>
              </w:rPr>
              <w:t>Benefits attracting</w:t>
            </w:r>
            <w:r w:rsidR="002676E5">
              <w:rPr>
                <w:bCs/>
              </w:rPr>
              <w:t xml:space="preserve"> concessionary rates (Bonus</w:t>
            </w:r>
            <w:r w:rsidRPr="00545E38">
              <w:rPr>
                <w:bCs/>
              </w:rPr>
              <w:t>)</w:t>
            </w:r>
            <w:r>
              <w:rPr>
                <w:bCs/>
              </w:rPr>
              <w:t xml:space="preserve"> and </w:t>
            </w:r>
            <w:r w:rsidR="0006480F">
              <w:rPr>
                <w:bCs/>
              </w:rPr>
              <w:t xml:space="preserve">members </w:t>
            </w:r>
          </w:p>
        </w:tc>
      </w:tr>
      <w:tr w:rsidR="007005E3" w:rsidRPr="003D7321" w:rsidTr="008B7CB2">
        <w:tc>
          <w:tcPr>
            <w:tcW w:w="2374" w:type="dxa"/>
            <w:tcBorders>
              <w:top w:val="nil"/>
              <w:left w:val="single" w:sz="8" w:space="0" w:color="000000"/>
              <w:bottom w:val="nil"/>
              <w:right w:val="nil"/>
            </w:tcBorders>
            <w:shd w:val="clear" w:color="auto" w:fill="auto"/>
          </w:tcPr>
          <w:p w:rsidR="00EB265F" w:rsidRDefault="00EB265F" w:rsidP="00EB265F">
            <w:pPr>
              <w:jc w:val="both"/>
              <w:rPr>
                <w:rFonts w:cs="Arial"/>
              </w:rPr>
            </w:pPr>
            <w:r>
              <w:rPr>
                <w:rFonts w:cs="Arial"/>
              </w:rPr>
              <w:t>Appendix 3</w:t>
            </w:r>
          </w:p>
          <w:p w:rsidR="007005E3" w:rsidRPr="003D7321" w:rsidRDefault="007005E3" w:rsidP="005012ED">
            <w:pPr>
              <w:jc w:val="both"/>
              <w:rPr>
                <w:rFonts w:cs="Arial"/>
              </w:rPr>
            </w:pPr>
            <w:r>
              <w:rPr>
                <w:rFonts w:cs="Arial"/>
              </w:rPr>
              <w:t xml:space="preserve">Appendix </w:t>
            </w:r>
            <w:r w:rsidR="00EB265F">
              <w:rPr>
                <w:rFonts w:cs="Arial"/>
              </w:rPr>
              <w:t>4</w:t>
            </w:r>
          </w:p>
        </w:tc>
        <w:tc>
          <w:tcPr>
            <w:tcW w:w="6982" w:type="dxa"/>
            <w:tcBorders>
              <w:top w:val="nil"/>
              <w:left w:val="nil"/>
              <w:bottom w:val="nil"/>
              <w:right w:val="single" w:sz="8" w:space="0" w:color="000000"/>
            </w:tcBorders>
          </w:tcPr>
          <w:p w:rsidR="00EB265F" w:rsidRDefault="00EB265F" w:rsidP="00EB265F">
            <w:pPr>
              <w:jc w:val="both"/>
            </w:pPr>
            <w:r w:rsidRPr="00545E38">
              <w:t>A comparative benchmark of annual membership fees, 2018/19</w:t>
            </w:r>
          </w:p>
          <w:p w:rsidR="007005E3" w:rsidRPr="003D7321" w:rsidRDefault="0077492B" w:rsidP="0077492B">
            <w:pPr>
              <w:jc w:val="both"/>
              <w:rPr>
                <w:rFonts w:cs="Arial"/>
              </w:rPr>
            </w:pPr>
            <w:r w:rsidRPr="00545E38">
              <w:t>Benchmarking of leisure concessions, 2018/19</w:t>
            </w:r>
            <w:r>
              <w:t xml:space="preserve"> </w:t>
            </w:r>
          </w:p>
        </w:tc>
      </w:tr>
      <w:tr w:rsidR="007005E3" w:rsidRPr="003D7321" w:rsidTr="008B7CB2">
        <w:tc>
          <w:tcPr>
            <w:tcW w:w="2374" w:type="dxa"/>
            <w:tcBorders>
              <w:top w:val="nil"/>
              <w:left w:val="single" w:sz="8" w:space="0" w:color="000000"/>
              <w:bottom w:val="single" w:sz="4" w:space="0" w:color="auto"/>
              <w:right w:val="nil"/>
            </w:tcBorders>
            <w:shd w:val="clear" w:color="auto" w:fill="auto"/>
          </w:tcPr>
          <w:p w:rsidR="0077492B" w:rsidRDefault="00D17637" w:rsidP="005012ED">
            <w:pPr>
              <w:jc w:val="both"/>
              <w:rPr>
                <w:rFonts w:cs="Arial"/>
              </w:rPr>
            </w:pPr>
            <w:r>
              <w:rPr>
                <w:rFonts w:cs="Arial"/>
              </w:rPr>
              <w:t>Appendix 5</w:t>
            </w:r>
          </w:p>
          <w:p w:rsidR="0077492B" w:rsidRDefault="0077492B" w:rsidP="005012ED">
            <w:pPr>
              <w:jc w:val="both"/>
              <w:rPr>
                <w:rFonts w:cs="Arial"/>
              </w:rPr>
            </w:pPr>
            <w:r>
              <w:rPr>
                <w:rFonts w:cs="Arial"/>
              </w:rPr>
              <w:t>Appendix 6</w:t>
            </w:r>
          </w:p>
          <w:p w:rsidR="0077492B" w:rsidRDefault="0077492B" w:rsidP="00D17637">
            <w:pPr>
              <w:jc w:val="both"/>
              <w:rPr>
                <w:rFonts w:cs="Arial"/>
              </w:rPr>
            </w:pPr>
          </w:p>
        </w:tc>
        <w:tc>
          <w:tcPr>
            <w:tcW w:w="6982" w:type="dxa"/>
            <w:tcBorders>
              <w:top w:val="nil"/>
              <w:left w:val="nil"/>
              <w:bottom w:val="single" w:sz="4" w:space="0" w:color="auto"/>
              <w:right w:val="single" w:sz="8" w:space="0" w:color="000000"/>
            </w:tcBorders>
          </w:tcPr>
          <w:p w:rsidR="0077492B" w:rsidRDefault="0077492B" w:rsidP="005012ED">
            <w:pPr>
              <w:jc w:val="both"/>
            </w:pPr>
            <w:r>
              <w:t xml:space="preserve">Risk </w:t>
            </w:r>
            <w:r w:rsidR="0006480F">
              <w:t>i</w:t>
            </w:r>
            <w:r>
              <w:t>mplications</w:t>
            </w:r>
          </w:p>
          <w:p w:rsidR="007005E3" w:rsidRDefault="007005E3" w:rsidP="005012ED">
            <w:pPr>
              <w:jc w:val="both"/>
            </w:pPr>
            <w:r>
              <w:t>Initial Equality Impact Assessment</w:t>
            </w:r>
          </w:p>
          <w:p w:rsidR="007005E3" w:rsidRDefault="007005E3" w:rsidP="005012ED">
            <w:pPr>
              <w:jc w:val="both"/>
            </w:pPr>
          </w:p>
        </w:tc>
      </w:tr>
    </w:tbl>
    <w:p w:rsidR="005C2DF7" w:rsidRDefault="005C2DF7" w:rsidP="005012ED">
      <w:pPr>
        <w:pStyle w:val="CommentText"/>
        <w:jc w:val="both"/>
        <w:rPr>
          <w:b/>
          <w:bCs/>
          <w:sz w:val="24"/>
          <w:szCs w:val="24"/>
          <w:u w:val="single"/>
        </w:rPr>
      </w:pPr>
    </w:p>
    <w:p w:rsidR="007F1C42" w:rsidRDefault="007F1C42" w:rsidP="005012ED">
      <w:pPr>
        <w:jc w:val="both"/>
      </w:pPr>
    </w:p>
    <w:p w:rsidR="0006480F" w:rsidRDefault="0006480F" w:rsidP="005012ED">
      <w:pPr>
        <w:pStyle w:val="PlainText"/>
        <w:jc w:val="both"/>
        <w:rPr>
          <w:rFonts w:cs="Arial"/>
          <w:b/>
          <w:szCs w:val="24"/>
        </w:rPr>
      </w:pPr>
    </w:p>
    <w:p w:rsidR="005C2DF7" w:rsidRDefault="005C2DF7" w:rsidP="005012ED">
      <w:pPr>
        <w:pStyle w:val="PlainText"/>
        <w:jc w:val="both"/>
        <w:rPr>
          <w:rFonts w:cs="Arial"/>
          <w:b/>
          <w:szCs w:val="24"/>
        </w:rPr>
      </w:pPr>
      <w:r w:rsidRPr="00E43405">
        <w:rPr>
          <w:rFonts w:cs="Arial"/>
          <w:b/>
          <w:szCs w:val="24"/>
        </w:rPr>
        <w:t xml:space="preserve">Introduction  </w:t>
      </w:r>
    </w:p>
    <w:p w:rsidR="005C2DF7" w:rsidRDefault="005C2DF7" w:rsidP="005012ED">
      <w:pPr>
        <w:pStyle w:val="PlainText"/>
        <w:jc w:val="both"/>
        <w:rPr>
          <w:rFonts w:cs="Arial"/>
          <w:szCs w:val="24"/>
        </w:rPr>
      </w:pPr>
    </w:p>
    <w:p w:rsidR="009E2E71" w:rsidRPr="009E2E71" w:rsidRDefault="009E2E71" w:rsidP="00A37190">
      <w:pPr>
        <w:pStyle w:val="PlainText"/>
        <w:numPr>
          <w:ilvl w:val="0"/>
          <w:numId w:val="2"/>
        </w:numPr>
        <w:jc w:val="both"/>
        <w:rPr>
          <w:rFonts w:cs="Arial"/>
          <w:szCs w:val="24"/>
        </w:rPr>
      </w:pPr>
      <w:r>
        <w:rPr>
          <w:rFonts w:cs="Arial"/>
          <w:szCs w:val="24"/>
        </w:rPr>
        <w:t xml:space="preserve">This report follows on from </w:t>
      </w:r>
      <w:r w:rsidR="00B46648">
        <w:rPr>
          <w:rFonts w:cs="Arial"/>
          <w:szCs w:val="24"/>
        </w:rPr>
        <w:t>the June</w:t>
      </w:r>
      <w:r w:rsidR="00BF1972">
        <w:rPr>
          <w:rFonts w:cs="Arial"/>
          <w:szCs w:val="24"/>
        </w:rPr>
        <w:t xml:space="preserve"> 2019 </w:t>
      </w:r>
      <w:r>
        <w:rPr>
          <w:rFonts w:cs="Arial"/>
          <w:szCs w:val="24"/>
        </w:rPr>
        <w:t xml:space="preserve">Cabinet </w:t>
      </w:r>
      <w:r w:rsidR="00B46648">
        <w:rPr>
          <w:rFonts w:cs="Arial"/>
          <w:szCs w:val="24"/>
        </w:rPr>
        <w:t xml:space="preserve">meeting where </w:t>
      </w:r>
      <w:r>
        <w:rPr>
          <w:rFonts w:cs="Arial"/>
          <w:szCs w:val="24"/>
        </w:rPr>
        <w:t>Fusion Lifestyle</w:t>
      </w:r>
      <w:r w:rsidR="00A81DA8">
        <w:rPr>
          <w:rFonts w:cs="Arial"/>
          <w:szCs w:val="24"/>
        </w:rPr>
        <w:t>’</w:t>
      </w:r>
      <w:r>
        <w:rPr>
          <w:rFonts w:cs="Arial"/>
          <w:szCs w:val="24"/>
        </w:rPr>
        <w:t>s Annual Service Plan</w:t>
      </w:r>
      <w:r w:rsidR="00B46648">
        <w:rPr>
          <w:rFonts w:cs="Arial"/>
          <w:szCs w:val="24"/>
        </w:rPr>
        <w:t>,</w:t>
      </w:r>
      <w:r>
        <w:rPr>
          <w:rFonts w:cs="Arial"/>
          <w:szCs w:val="24"/>
        </w:rPr>
        <w:t xml:space="preserve"> which shows how </w:t>
      </w:r>
      <w:r w:rsidR="00B46648">
        <w:rPr>
          <w:rFonts w:cs="Arial"/>
          <w:szCs w:val="24"/>
        </w:rPr>
        <w:t xml:space="preserve">Fusion </w:t>
      </w:r>
      <w:r>
        <w:rPr>
          <w:rFonts w:cs="Arial"/>
          <w:szCs w:val="24"/>
        </w:rPr>
        <w:t xml:space="preserve">will </w:t>
      </w:r>
      <w:r w:rsidR="00B46648">
        <w:t xml:space="preserve">manage and </w:t>
      </w:r>
      <w:r w:rsidRPr="001268E4">
        <w:t>develop</w:t>
      </w:r>
      <w:r w:rsidR="00B46648">
        <w:t xml:space="preserve"> </w:t>
      </w:r>
      <w:r w:rsidR="00B46648" w:rsidRPr="001268E4">
        <w:t>Oxford</w:t>
      </w:r>
      <w:r w:rsidR="00B46648">
        <w:t>’s</w:t>
      </w:r>
      <w:r w:rsidR="00B46648" w:rsidRPr="001268E4">
        <w:t xml:space="preserve"> </w:t>
      </w:r>
      <w:r w:rsidRPr="001268E4">
        <w:t xml:space="preserve">leisure </w:t>
      </w:r>
      <w:r w:rsidR="00B46648">
        <w:t>centres, was agreed</w:t>
      </w:r>
      <w:r>
        <w:t>.</w:t>
      </w:r>
    </w:p>
    <w:p w:rsidR="009E2E71" w:rsidRDefault="009E2E71" w:rsidP="005012ED">
      <w:pPr>
        <w:pStyle w:val="PlainText"/>
        <w:jc w:val="both"/>
      </w:pPr>
    </w:p>
    <w:p w:rsidR="009E2E71" w:rsidRDefault="009E2E71" w:rsidP="00A37190">
      <w:pPr>
        <w:pStyle w:val="ListParagraph"/>
        <w:numPr>
          <w:ilvl w:val="0"/>
          <w:numId w:val="2"/>
        </w:numPr>
        <w:jc w:val="both"/>
      </w:pPr>
      <w:r>
        <w:t xml:space="preserve">Prior to starting the contract with Fusion </w:t>
      </w:r>
      <w:r w:rsidR="00B01234">
        <w:t xml:space="preserve">Lifestyle </w:t>
      </w:r>
      <w:r w:rsidR="00B86254">
        <w:t xml:space="preserve">(Fusion) </w:t>
      </w:r>
      <w:r>
        <w:t>in 2009, the leisure centres were costing the Council over £2</w:t>
      </w:r>
      <w:r w:rsidR="00B46648">
        <w:t xml:space="preserve"> </w:t>
      </w:r>
      <w:r>
        <w:t xml:space="preserve">million per year. This has now reduced to just under £100,000 per year, alongside absorbing increases in </w:t>
      </w:r>
      <w:r w:rsidR="00A81DA8">
        <w:t>Oxford Living Wage</w:t>
      </w:r>
      <w:r>
        <w:t>, utility costs and adding in additional free swimming sessions for young people.</w:t>
      </w:r>
    </w:p>
    <w:p w:rsidR="007552D3" w:rsidRDefault="007552D3" w:rsidP="007552D3">
      <w:pPr>
        <w:pStyle w:val="ListParagraph"/>
      </w:pPr>
    </w:p>
    <w:p w:rsidR="009E2E71" w:rsidRPr="00623917" w:rsidRDefault="00D17637" w:rsidP="00A37190">
      <w:pPr>
        <w:pStyle w:val="ListParagraph"/>
        <w:numPr>
          <w:ilvl w:val="0"/>
          <w:numId w:val="2"/>
        </w:numPr>
        <w:jc w:val="both"/>
      </w:pPr>
      <w:r>
        <w:t>Over this time</w:t>
      </w:r>
      <w:r w:rsidR="007552D3" w:rsidRPr="00623917">
        <w:t xml:space="preserve"> the </w:t>
      </w:r>
      <w:r w:rsidR="00B44214">
        <w:t xml:space="preserve">Sport England </w:t>
      </w:r>
      <w:r w:rsidR="007552D3" w:rsidRPr="00623917">
        <w:t>Active Lives survey shows that Oxford has gone from being one the least active places in the count</w:t>
      </w:r>
      <w:r w:rsidR="00B44214">
        <w:t>r</w:t>
      </w:r>
      <w:r w:rsidR="007552D3" w:rsidRPr="00623917">
        <w:t xml:space="preserve">y to one of the most active. This is down to </w:t>
      </w:r>
      <w:r w:rsidR="0056136D" w:rsidRPr="00623917">
        <w:t>very</w:t>
      </w:r>
      <w:r w:rsidR="0056136D">
        <w:t xml:space="preserve"> </w:t>
      </w:r>
      <w:r w:rsidR="0006480F">
        <w:t xml:space="preserve">strong </w:t>
      </w:r>
      <w:r w:rsidR="00B44214">
        <w:t xml:space="preserve">leadership by the City Council, effective partnership working, </w:t>
      </w:r>
      <w:r w:rsidR="0006480F" w:rsidRPr="00623917">
        <w:t>well-coordinate</w:t>
      </w:r>
      <w:r w:rsidR="0006480F">
        <w:t>d</w:t>
      </w:r>
      <w:r w:rsidR="007552D3" w:rsidRPr="00623917">
        <w:t xml:space="preserve"> activities and improved facilities</w:t>
      </w:r>
      <w:r w:rsidR="00623917" w:rsidRPr="00623917">
        <w:t xml:space="preserve">. </w:t>
      </w:r>
      <w:r w:rsidR="007552D3" w:rsidRPr="00623917">
        <w:t xml:space="preserve">The facilities part of the </w:t>
      </w:r>
      <w:r w:rsidR="00B44214">
        <w:t xml:space="preserve">leisure </w:t>
      </w:r>
      <w:r w:rsidR="00623917" w:rsidRPr="00623917">
        <w:t xml:space="preserve">offer is </w:t>
      </w:r>
      <w:r w:rsidR="0006480F">
        <w:t>shown i</w:t>
      </w:r>
      <w:r w:rsidR="007552D3" w:rsidRPr="00623917">
        <w:t xml:space="preserve">n </w:t>
      </w:r>
      <w:r w:rsidR="00FA6C09" w:rsidRPr="00623917">
        <w:t>A</w:t>
      </w:r>
      <w:r w:rsidR="007552D3" w:rsidRPr="00623917">
        <w:t xml:space="preserve">ppendix </w:t>
      </w:r>
      <w:r w:rsidR="00FA6C09">
        <w:t>1</w:t>
      </w:r>
      <w:r w:rsidR="00623917" w:rsidRPr="00623917">
        <w:t xml:space="preserve">. </w:t>
      </w:r>
    </w:p>
    <w:p w:rsidR="007552D3" w:rsidRDefault="007552D3" w:rsidP="007552D3">
      <w:pPr>
        <w:pStyle w:val="ListParagraph"/>
      </w:pPr>
    </w:p>
    <w:p w:rsidR="009E2E71" w:rsidRDefault="009E2E71" w:rsidP="00A37190">
      <w:pPr>
        <w:pStyle w:val="PlainText"/>
        <w:numPr>
          <w:ilvl w:val="0"/>
          <w:numId w:val="2"/>
        </w:numPr>
        <w:jc w:val="both"/>
      </w:pPr>
      <w:r>
        <w:rPr>
          <w:rFonts w:cs="Arial"/>
          <w:szCs w:val="24"/>
        </w:rPr>
        <w:t>A study was u</w:t>
      </w:r>
      <w:r w:rsidRPr="000134AF">
        <w:rPr>
          <w:rFonts w:cs="Arial"/>
          <w:szCs w:val="24"/>
        </w:rPr>
        <w:t>ndert</w:t>
      </w:r>
      <w:r>
        <w:rPr>
          <w:rFonts w:cs="Arial"/>
          <w:szCs w:val="24"/>
        </w:rPr>
        <w:t xml:space="preserve">aken in 2014 </w:t>
      </w:r>
      <w:r w:rsidRPr="000134AF">
        <w:rPr>
          <w:rFonts w:cs="Arial"/>
          <w:szCs w:val="24"/>
        </w:rPr>
        <w:t xml:space="preserve">which showed </w:t>
      </w:r>
      <w:r>
        <w:rPr>
          <w:rFonts w:cs="Arial"/>
          <w:szCs w:val="24"/>
        </w:rPr>
        <w:t xml:space="preserve">Oxford’s leisure centres </w:t>
      </w:r>
      <w:r w:rsidRPr="000134AF">
        <w:rPr>
          <w:rFonts w:cs="Arial"/>
          <w:szCs w:val="24"/>
        </w:rPr>
        <w:t xml:space="preserve">deliver </w:t>
      </w:r>
      <w:r>
        <w:rPr>
          <w:rFonts w:cs="Arial"/>
          <w:szCs w:val="24"/>
        </w:rPr>
        <w:t>c</w:t>
      </w:r>
      <w:r w:rsidRPr="000134AF">
        <w:rPr>
          <w:rFonts w:cs="Arial"/>
          <w:szCs w:val="24"/>
        </w:rPr>
        <w:t>£18m of social value</w:t>
      </w:r>
      <w:r>
        <w:rPr>
          <w:rFonts w:cs="Arial"/>
          <w:szCs w:val="24"/>
        </w:rPr>
        <w:t xml:space="preserve">; </w:t>
      </w:r>
      <w:r w:rsidRPr="000134AF">
        <w:rPr>
          <w:rFonts w:cs="Arial"/>
          <w:szCs w:val="24"/>
        </w:rPr>
        <w:t xml:space="preserve">much of this </w:t>
      </w:r>
      <w:r>
        <w:rPr>
          <w:rFonts w:cs="Arial"/>
          <w:szCs w:val="24"/>
        </w:rPr>
        <w:t xml:space="preserve">is due to the high numbers of </w:t>
      </w:r>
      <w:r w:rsidRPr="000134AF">
        <w:rPr>
          <w:rFonts w:cs="Arial"/>
          <w:szCs w:val="24"/>
        </w:rPr>
        <w:t xml:space="preserve">concessionary users </w:t>
      </w:r>
      <w:r>
        <w:rPr>
          <w:rFonts w:cs="Arial"/>
          <w:szCs w:val="24"/>
        </w:rPr>
        <w:t xml:space="preserve">at Barton and The Leys Pools &amp; Leisure Centres. </w:t>
      </w:r>
      <w:r w:rsidR="00B46648">
        <w:rPr>
          <w:rFonts w:cs="Arial"/>
          <w:szCs w:val="24"/>
        </w:rPr>
        <w:t xml:space="preserve">Affordable </w:t>
      </w:r>
      <w:r>
        <w:t xml:space="preserve">pricing </w:t>
      </w:r>
      <w:r w:rsidR="00B46648">
        <w:t xml:space="preserve">is </w:t>
      </w:r>
      <w:r>
        <w:t>a key part of the mix to ensure that the</w:t>
      </w:r>
      <w:r w:rsidR="00B46648">
        <w:t xml:space="preserve"> leisure centres are accessible </w:t>
      </w:r>
      <w:r>
        <w:t>for everyone.</w:t>
      </w:r>
    </w:p>
    <w:p w:rsidR="009C42B0" w:rsidRDefault="009C42B0" w:rsidP="009C42B0">
      <w:pPr>
        <w:pStyle w:val="ListParagraph"/>
      </w:pPr>
    </w:p>
    <w:p w:rsidR="009C42B0" w:rsidRDefault="009C42B0" w:rsidP="00A37190">
      <w:pPr>
        <w:pStyle w:val="PlainText"/>
        <w:numPr>
          <w:ilvl w:val="0"/>
          <w:numId w:val="2"/>
        </w:numPr>
        <w:jc w:val="both"/>
        <w:rPr>
          <w:rFonts w:cs="Arial"/>
          <w:szCs w:val="24"/>
        </w:rPr>
      </w:pPr>
      <w:r w:rsidRPr="004C7D1C">
        <w:rPr>
          <w:rFonts w:cs="Arial"/>
          <w:szCs w:val="24"/>
        </w:rPr>
        <w:t xml:space="preserve">The </w:t>
      </w:r>
      <w:r>
        <w:rPr>
          <w:rFonts w:cs="Arial"/>
          <w:szCs w:val="24"/>
        </w:rPr>
        <w:t xml:space="preserve">leisure </w:t>
      </w:r>
      <w:r w:rsidRPr="004C7D1C">
        <w:rPr>
          <w:rFonts w:cs="Arial"/>
          <w:szCs w:val="24"/>
        </w:rPr>
        <w:t xml:space="preserve">contract with Fusion has a pricing structure where we charge the market rate to people who can afford to pay and offer a concessionary scheme to ensure there is equitable access. </w:t>
      </w:r>
    </w:p>
    <w:p w:rsidR="009E2E71" w:rsidRDefault="009E2E71" w:rsidP="005012ED">
      <w:pPr>
        <w:pStyle w:val="PlainText"/>
        <w:jc w:val="both"/>
        <w:rPr>
          <w:rFonts w:cs="Arial"/>
          <w:szCs w:val="24"/>
        </w:rPr>
      </w:pPr>
    </w:p>
    <w:p w:rsidR="00CC34D4" w:rsidRPr="009C42B0" w:rsidRDefault="009C42B0" w:rsidP="00A37190">
      <w:pPr>
        <w:pStyle w:val="PlainText"/>
        <w:numPr>
          <w:ilvl w:val="0"/>
          <w:numId w:val="2"/>
        </w:numPr>
        <w:jc w:val="both"/>
        <w:rPr>
          <w:rFonts w:cs="Arial"/>
          <w:szCs w:val="24"/>
        </w:rPr>
      </w:pPr>
      <w:r w:rsidRPr="009C42B0">
        <w:rPr>
          <w:rFonts w:cs="Arial"/>
          <w:szCs w:val="24"/>
        </w:rPr>
        <w:t xml:space="preserve">There are a wide range of criteria that entitle residents </w:t>
      </w:r>
      <w:r w:rsidR="00C4452F">
        <w:rPr>
          <w:rFonts w:cs="Arial"/>
          <w:szCs w:val="24"/>
        </w:rPr>
        <w:t>to</w:t>
      </w:r>
      <w:r w:rsidR="00C4452F" w:rsidRPr="009C42B0">
        <w:rPr>
          <w:rFonts w:cs="Arial"/>
          <w:szCs w:val="24"/>
        </w:rPr>
        <w:t xml:space="preserve"> </w:t>
      </w:r>
      <w:r w:rsidRPr="009C42B0">
        <w:rPr>
          <w:rFonts w:cs="Arial"/>
          <w:szCs w:val="24"/>
        </w:rPr>
        <w:t>a concessionary membership. The</w:t>
      </w:r>
      <w:r w:rsidR="00B01234">
        <w:rPr>
          <w:rFonts w:cs="Arial"/>
          <w:szCs w:val="24"/>
        </w:rPr>
        <w:t xml:space="preserve"> categories and </w:t>
      </w:r>
      <w:r w:rsidR="00F57340">
        <w:rPr>
          <w:rFonts w:cs="Arial"/>
          <w:szCs w:val="24"/>
        </w:rPr>
        <w:t>uptake</w:t>
      </w:r>
      <w:r w:rsidR="00B01234">
        <w:rPr>
          <w:rFonts w:cs="Arial"/>
          <w:szCs w:val="24"/>
        </w:rPr>
        <w:t xml:space="preserve"> are </w:t>
      </w:r>
      <w:r w:rsidR="00B01234" w:rsidRPr="007552D3">
        <w:rPr>
          <w:rFonts w:cs="Arial"/>
          <w:szCs w:val="24"/>
        </w:rPr>
        <w:t>shown</w:t>
      </w:r>
      <w:r w:rsidRPr="007552D3">
        <w:rPr>
          <w:rFonts w:cs="Arial"/>
          <w:szCs w:val="24"/>
        </w:rPr>
        <w:t xml:space="preserve"> in </w:t>
      </w:r>
      <w:r w:rsidR="00FA6C09" w:rsidRPr="007552D3">
        <w:rPr>
          <w:rFonts w:cs="Arial"/>
          <w:szCs w:val="24"/>
        </w:rPr>
        <w:t>A</w:t>
      </w:r>
      <w:r w:rsidR="007552D3" w:rsidRPr="007552D3">
        <w:rPr>
          <w:rFonts w:cs="Arial"/>
          <w:szCs w:val="24"/>
        </w:rPr>
        <w:t xml:space="preserve">ppendix </w:t>
      </w:r>
      <w:r w:rsidR="00FA6C09">
        <w:rPr>
          <w:rFonts w:cs="Arial"/>
          <w:szCs w:val="24"/>
        </w:rPr>
        <w:t>2</w:t>
      </w:r>
      <w:r w:rsidR="00C46292">
        <w:rPr>
          <w:rFonts w:cs="Arial"/>
          <w:szCs w:val="24"/>
        </w:rPr>
        <w:t xml:space="preserve">. </w:t>
      </w:r>
      <w:r w:rsidR="00CC34D4" w:rsidRPr="009C42B0">
        <w:rPr>
          <w:rFonts w:cs="Arial"/>
          <w:szCs w:val="24"/>
        </w:rPr>
        <w:t xml:space="preserve">With the introduction of Universal Credit it is timely to </w:t>
      </w:r>
      <w:r w:rsidR="004C7D1C" w:rsidRPr="009C42B0">
        <w:rPr>
          <w:rFonts w:cs="Arial"/>
          <w:szCs w:val="24"/>
        </w:rPr>
        <w:t>review concessions</w:t>
      </w:r>
      <w:r w:rsidR="00CC34D4" w:rsidRPr="009C42B0">
        <w:rPr>
          <w:rFonts w:cs="Arial"/>
          <w:szCs w:val="24"/>
        </w:rPr>
        <w:t xml:space="preserve"> to make sure they are effectively targeted to meet </w:t>
      </w:r>
      <w:r w:rsidR="004C7D1C" w:rsidRPr="009C42B0">
        <w:rPr>
          <w:rFonts w:cs="Arial"/>
          <w:szCs w:val="24"/>
        </w:rPr>
        <w:t xml:space="preserve">the </w:t>
      </w:r>
      <w:r w:rsidR="00F57340" w:rsidRPr="009C42B0">
        <w:rPr>
          <w:rFonts w:cs="Arial"/>
          <w:szCs w:val="24"/>
        </w:rPr>
        <w:t>C</w:t>
      </w:r>
      <w:r w:rsidR="004C7D1C" w:rsidRPr="009C42B0">
        <w:rPr>
          <w:rFonts w:cs="Arial"/>
          <w:szCs w:val="24"/>
        </w:rPr>
        <w:t xml:space="preserve">ouncil’s </w:t>
      </w:r>
      <w:r w:rsidR="00CC34D4" w:rsidRPr="009C42B0">
        <w:rPr>
          <w:rFonts w:cs="Arial"/>
          <w:szCs w:val="24"/>
        </w:rPr>
        <w:t>strategic objectives.</w:t>
      </w:r>
    </w:p>
    <w:p w:rsidR="00514770" w:rsidRDefault="00514770" w:rsidP="005012ED">
      <w:pPr>
        <w:pStyle w:val="ListParagraph"/>
        <w:jc w:val="both"/>
      </w:pPr>
    </w:p>
    <w:p w:rsidR="00A23A2A" w:rsidRDefault="009E2E71" w:rsidP="00A37190">
      <w:pPr>
        <w:pStyle w:val="PlainText"/>
        <w:numPr>
          <w:ilvl w:val="0"/>
          <w:numId w:val="2"/>
        </w:numPr>
        <w:jc w:val="both"/>
        <w:rPr>
          <w:rFonts w:cs="Arial"/>
          <w:szCs w:val="24"/>
        </w:rPr>
      </w:pPr>
      <w:r>
        <w:rPr>
          <w:rFonts w:cs="Arial"/>
          <w:szCs w:val="24"/>
        </w:rPr>
        <w:t xml:space="preserve">The </w:t>
      </w:r>
      <w:r w:rsidR="00DE00A4">
        <w:rPr>
          <w:rFonts w:cs="Arial"/>
          <w:szCs w:val="24"/>
        </w:rPr>
        <w:t>Cabinet</w:t>
      </w:r>
      <w:r>
        <w:rPr>
          <w:rFonts w:cs="Arial"/>
          <w:szCs w:val="24"/>
        </w:rPr>
        <w:t xml:space="preserve"> M</w:t>
      </w:r>
      <w:r w:rsidR="00514770">
        <w:rPr>
          <w:rFonts w:cs="Arial"/>
          <w:szCs w:val="24"/>
        </w:rPr>
        <w:t xml:space="preserve">ember </w:t>
      </w:r>
      <w:r w:rsidR="00A23A2A">
        <w:rPr>
          <w:rFonts w:cs="Arial"/>
          <w:szCs w:val="24"/>
        </w:rPr>
        <w:t xml:space="preserve">for leisure </w:t>
      </w:r>
      <w:r>
        <w:rPr>
          <w:rFonts w:cs="Arial"/>
          <w:szCs w:val="24"/>
        </w:rPr>
        <w:t>requested the re</w:t>
      </w:r>
      <w:r w:rsidR="00A23A2A">
        <w:rPr>
          <w:rFonts w:cs="Arial"/>
          <w:szCs w:val="24"/>
        </w:rPr>
        <w:t xml:space="preserve">view </w:t>
      </w:r>
      <w:r w:rsidR="00514770">
        <w:rPr>
          <w:rFonts w:cs="Arial"/>
          <w:szCs w:val="24"/>
        </w:rPr>
        <w:t xml:space="preserve">to ensure that concessionary rates are </w:t>
      </w:r>
      <w:r>
        <w:rPr>
          <w:rFonts w:cs="Arial"/>
          <w:szCs w:val="24"/>
        </w:rPr>
        <w:t xml:space="preserve">supporting people who </w:t>
      </w:r>
      <w:r w:rsidR="009C42B0">
        <w:rPr>
          <w:rFonts w:cs="Arial"/>
          <w:szCs w:val="24"/>
        </w:rPr>
        <w:t xml:space="preserve">are most in </w:t>
      </w:r>
      <w:r>
        <w:rPr>
          <w:rFonts w:cs="Arial"/>
          <w:szCs w:val="24"/>
        </w:rPr>
        <w:t xml:space="preserve">need </w:t>
      </w:r>
      <w:r w:rsidR="00B01234">
        <w:rPr>
          <w:rFonts w:cs="Arial"/>
          <w:szCs w:val="24"/>
        </w:rPr>
        <w:t xml:space="preserve">of </w:t>
      </w:r>
      <w:r>
        <w:rPr>
          <w:rFonts w:cs="Arial"/>
          <w:szCs w:val="24"/>
        </w:rPr>
        <w:t xml:space="preserve">the Council’s support and are </w:t>
      </w:r>
      <w:r w:rsidR="00514770">
        <w:rPr>
          <w:rFonts w:cs="Arial"/>
          <w:szCs w:val="24"/>
        </w:rPr>
        <w:t xml:space="preserve">not </w:t>
      </w:r>
      <w:r w:rsidR="00B01234">
        <w:rPr>
          <w:rFonts w:cs="Arial"/>
          <w:szCs w:val="24"/>
        </w:rPr>
        <w:t>available to</w:t>
      </w:r>
      <w:r w:rsidR="009C42B0">
        <w:rPr>
          <w:rFonts w:cs="Arial"/>
          <w:szCs w:val="24"/>
        </w:rPr>
        <w:t xml:space="preserve"> </w:t>
      </w:r>
      <w:r w:rsidR="00514770">
        <w:rPr>
          <w:rFonts w:cs="Arial"/>
          <w:szCs w:val="24"/>
        </w:rPr>
        <w:t xml:space="preserve">people </w:t>
      </w:r>
      <w:r w:rsidR="00487B6D">
        <w:rPr>
          <w:rFonts w:cs="Arial"/>
          <w:szCs w:val="24"/>
        </w:rPr>
        <w:t xml:space="preserve">on </w:t>
      </w:r>
      <w:r w:rsidR="00514770">
        <w:rPr>
          <w:rFonts w:cs="Arial"/>
          <w:szCs w:val="24"/>
        </w:rPr>
        <w:t>high</w:t>
      </w:r>
      <w:r w:rsidR="00487B6D">
        <w:rPr>
          <w:rFonts w:cs="Arial"/>
          <w:szCs w:val="24"/>
        </w:rPr>
        <w:t>er</w:t>
      </w:r>
      <w:r w:rsidR="00514770">
        <w:rPr>
          <w:rFonts w:cs="Arial"/>
          <w:szCs w:val="24"/>
        </w:rPr>
        <w:t xml:space="preserve"> incomes.</w:t>
      </w:r>
      <w:r w:rsidR="00A23A2A" w:rsidRPr="00A23A2A">
        <w:rPr>
          <w:rFonts w:cs="Arial"/>
          <w:szCs w:val="24"/>
        </w:rPr>
        <w:t xml:space="preserve"> </w:t>
      </w:r>
    </w:p>
    <w:p w:rsidR="00A23A2A" w:rsidRDefault="00A23A2A" w:rsidP="005012ED">
      <w:pPr>
        <w:pStyle w:val="PlainText"/>
        <w:ind w:left="720"/>
        <w:jc w:val="both"/>
        <w:rPr>
          <w:rFonts w:cs="Arial"/>
          <w:szCs w:val="24"/>
        </w:rPr>
      </w:pPr>
    </w:p>
    <w:p w:rsidR="003919B1" w:rsidRDefault="00A23A2A" w:rsidP="00A37190">
      <w:pPr>
        <w:pStyle w:val="PlainText"/>
        <w:numPr>
          <w:ilvl w:val="0"/>
          <w:numId w:val="2"/>
        </w:numPr>
        <w:jc w:val="both"/>
        <w:rPr>
          <w:rFonts w:cs="Arial"/>
          <w:szCs w:val="24"/>
        </w:rPr>
      </w:pPr>
      <w:r>
        <w:rPr>
          <w:rFonts w:cs="Arial"/>
          <w:szCs w:val="24"/>
        </w:rPr>
        <w:t>The</w:t>
      </w:r>
      <w:r w:rsidR="009E2E71">
        <w:rPr>
          <w:rFonts w:cs="Arial"/>
          <w:szCs w:val="24"/>
        </w:rPr>
        <w:t xml:space="preserve">re is also an aspiration to better </w:t>
      </w:r>
      <w:r>
        <w:rPr>
          <w:rFonts w:cs="Arial"/>
          <w:szCs w:val="24"/>
        </w:rPr>
        <w:t xml:space="preserve">understand how effective concessions are </w:t>
      </w:r>
      <w:r w:rsidR="00B01234">
        <w:rPr>
          <w:rFonts w:cs="Arial"/>
          <w:szCs w:val="24"/>
        </w:rPr>
        <w:t>at</w:t>
      </w:r>
      <w:r w:rsidR="005012ED">
        <w:rPr>
          <w:rFonts w:cs="Arial"/>
          <w:szCs w:val="24"/>
        </w:rPr>
        <w:t xml:space="preserve"> increas</w:t>
      </w:r>
      <w:r w:rsidR="00B01234">
        <w:rPr>
          <w:rFonts w:cs="Arial"/>
          <w:szCs w:val="24"/>
        </w:rPr>
        <w:t xml:space="preserve">ing </w:t>
      </w:r>
      <w:r>
        <w:rPr>
          <w:rFonts w:cs="Arial"/>
          <w:szCs w:val="24"/>
        </w:rPr>
        <w:t>usag</w:t>
      </w:r>
      <w:r w:rsidR="00B01234">
        <w:rPr>
          <w:rFonts w:cs="Arial"/>
          <w:szCs w:val="24"/>
        </w:rPr>
        <w:t xml:space="preserve">e from people in </w:t>
      </w:r>
      <w:r w:rsidR="005012ED">
        <w:rPr>
          <w:rFonts w:cs="Arial"/>
          <w:szCs w:val="24"/>
        </w:rPr>
        <w:t xml:space="preserve">the Council’s </w:t>
      </w:r>
      <w:r>
        <w:rPr>
          <w:rFonts w:cs="Arial"/>
          <w:szCs w:val="24"/>
        </w:rPr>
        <w:t>target groups</w:t>
      </w:r>
      <w:r w:rsidR="00B01234">
        <w:rPr>
          <w:rFonts w:cs="Arial"/>
          <w:szCs w:val="24"/>
        </w:rPr>
        <w:t xml:space="preserve"> – these are </w:t>
      </w:r>
      <w:r w:rsidR="003919B1">
        <w:rPr>
          <w:rFonts w:cs="Arial"/>
          <w:szCs w:val="24"/>
        </w:rPr>
        <w:t xml:space="preserve">young people, older people, people with impairments, BAMER </w:t>
      </w:r>
      <w:r w:rsidR="009B54BF">
        <w:rPr>
          <w:rFonts w:cs="Arial"/>
          <w:szCs w:val="24"/>
        </w:rPr>
        <w:t xml:space="preserve">groups </w:t>
      </w:r>
      <w:r w:rsidR="003919B1">
        <w:rPr>
          <w:rFonts w:cs="Arial"/>
          <w:szCs w:val="24"/>
        </w:rPr>
        <w:t xml:space="preserve">and people on low incomes. </w:t>
      </w:r>
    </w:p>
    <w:p w:rsidR="00A23A2A" w:rsidRDefault="00A23A2A" w:rsidP="005012ED">
      <w:pPr>
        <w:pStyle w:val="ListParagraph"/>
        <w:jc w:val="both"/>
      </w:pPr>
    </w:p>
    <w:p w:rsidR="00A23A2A" w:rsidRDefault="00A23A2A" w:rsidP="00A37190">
      <w:pPr>
        <w:pStyle w:val="PlainText"/>
        <w:numPr>
          <w:ilvl w:val="0"/>
          <w:numId w:val="2"/>
        </w:numPr>
        <w:jc w:val="both"/>
        <w:rPr>
          <w:rFonts w:cs="Arial"/>
          <w:szCs w:val="24"/>
        </w:rPr>
      </w:pPr>
      <w:r w:rsidRPr="0073032B">
        <w:rPr>
          <w:rFonts w:cs="Arial"/>
          <w:szCs w:val="24"/>
        </w:rPr>
        <w:t xml:space="preserve">This report updates on </w:t>
      </w:r>
      <w:r>
        <w:rPr>
          <w:rFonts w:cs="Arial"/>
          <w:szCs w:val="24"/>
        </w:rPr>
        <w:t xml:space="preserve">the work that officers have been doing to explore how we </w:t>
      </w:r>
      <w:r w:rsidRPr="0073032B">
        <w:rPr>
          <w:rFonts w:cs="Arial"/>
          <w:szCs w:val="24"/>
        </w:rPr>
        <w:t>can</w:t>
      </w:r>
      <w:r>
        <w:rPr>
          <w:rFonts w:cs="Arial"/>
          <w:szCs w:val="24"/>
        </w:rPr>
        <w:t xml:space="preserve"> modernise leisure </w:t>
      </w:r>
      <w:r w:rsidRPr="0073032B">
        <w:rPr>
          <w:rFonts w:cs="Arial"/>
          <w:szCs w:val="24"/>
        </w:rPr>
        <w:t>concessions</w:t>
      </w:r>
      <w:r>
        <w:rPr>
          <w:rFonts w:cs="Arial"/>
          <w:szCs w:val="24"/>
        </w:rPr>
        <w:t xml:space="preserve">, although </w:t>
      </w:r>
      <w:r w:rsidRPr="0073032B">
        <w:rPr>
          <w:rFonts w:cs="Arial"/>
          <w:szCs w:val="24"/>
        </w:rPr>
        <w:t>the</w:t>
      </w:r>
      <w:r>
        <w:rPr>
          <w:rFonts w:cs="Arial"/>
          <w:szCs w:val="24"/>
        </w:rPr>
        <w:t xml:space="preserve"> changes to the</w:t>
      </w:r>
      <w:r w:rsidRPr="0073032B">
        <w:rPr>
          <w:rFonts w:cs="Arial"/>
          <w:szCs w:val="24"/>
        </w:rPr>
        <w:t xml:space="preserve"> criteria could apply across </w:t>
      </w:r>
      <w:r w:rsidR="00F57340" w:rsidRPr="0073032B">
        <w:rPr>
          <w:rFonts w:cs="Arial"/>
          <w:szCs w:val="24"/>
        </w:rPr>
        <w:t>C</w:t>
      </w:r>
      <w:r w:rsidRPr="0073032B">
        <w:rPr>
          <w:rFonts w:cs="Arial"/>
          <w:szCs w:val="24"/>
        </w:rPr>
        <w:t>ouncil services.</w:t>
      </w:r>
    </w:p>
    <w:p w:rsidR="00A23A2A" w:rsidRDefault="00A23A2A" w:rsidP="005012ED">
      <w:pPr>
        <w:pStyle w:val="ListParagraph"/>
        <w:jc w:val="both"/>
      </w:pPr>
    </w:p>
    <w:p w:rsidR="00BF1972" w:rsidRDefault="00A23A2A" w:rsidP="00A37190">
      <w:pPr>
        <w:pStyle w:val="PlainText"/>
        <w:numPr>
          <w:ilvl w:val="0"/>
          <w:numId w:val="2"/>
        </w:numPr>
        <w:jc w:val="both"/>
        <w:rPr>
          <w:rFonts w:cs="Arial"/>
          <w:szCs w:val="24"/>
        </w:rPr>
      </w:pPr>
      <w:r w:rsidRPr="003919B1">
        <w:rPr>
          <w:rFonts w:cs="Arial"/>
          <w:szCs w:val="24"/>
        </w:rPr>
        <w:t>Th</w:t>
      </w:r>
      <w:r w:rsidR="00B01234">
        <w:rPr>
          <w:rFonts w:cs="Arial"/>
          <w:szCs w:val="24"/>
        </w:rPr>
        <w:t>e</w:t>
      </w:r>
      <w:r w:rsidR="00487B6D">
        <w:rPr>
          <w:rFonts w:cs="Arial"/>
          <w:szCs w:val="24"/>
        </w:rPr>
        <w:t xml:space="preserve"> </w:t>
      </w:r>
      <w:r w:rsidRPr="003919B1">
        <w:rPr>
          <w:rFonts w:cs="Arial"/>
          <w:szCs w:val="24"/>
        </w:rPr>
        <w:t>report recommends that the most effective way to ensure people on higher incomes do not qualify for concessions is to use the Council Tax Reduction Scheme in combinati</w:t>
      </w:r>
      <w:r w:rsidR="00B01234">
        <w:rPr>
          <w:rFonts w:cs="Arial"/>
          <w:szCs w:val="24"/>
        </w:rPr>
        <w:t>on with the housing element of Universal C</w:t>
      </w:r>
      <w:r w:rsidRPr="003919B1">
        <w:rPr>
          <w:rFonts w:cs="Arial"/>
          <w:szCs w:val="24"/>
        </w:rPr>
        <w:t>redit</w:t>
      </w:r>
      <w:r w:rsidR="00487B6D">
        <w:rPr>
          <w:rFonts w:cs="Arial"/>
          <w:szCs w:val="24"/>
        </w:rPr>
        <w:t xml:space="preserve">. </w:t>
      </w:r>
      <w:r w:rsidR="007F1C42">
        <w:rPr>
          <w:rFonts w:cs="Arial"/>
          <w:szCs w:val="24"/>
        </w:rPr>
        <w:t>This means that</w:t>
      </w:r>
      <w:r w:rsidR="00A61859">
        <w:rPr>
          <w:rFonts w:cs="Arial"/>
          <w:szCs w:val="24"/>
        </w:rPr>
        <w:t>,</w:t>
      </w:r>
      <w:r w:rsidR="007F1C42">
        <w:rPr>
          <w:rFonts w:cs="Arial"/>
          <w:szCs w:val="24"/>
        </w:rPr>
        <w:t xml:space="preserve"> apart from the </w:t>
      </w:r>
      <w:r w:rsidR="009C42B0">
        <w:rPr>
          <w:rFonts w:cs="Arial"/>
          <w:szCs w:val="24"/>
        </w:rPr>
        <w:t>non</w:t>
      </w:r>
      <w:r w:rsidR="009C42B0" w:rsidRPr="003919B1">
        <w:rPr>
          <w:rFonts w:cs="Arial"/>
          <w:szCs w:val="24"/>
        </w:rPr>
        <w:t>-income</w:t>
      </w:r>
      <w:r w:rsidR="00703039" w:rsidRPr="003919B1">
        <w:rPr>
          <w:rFonts w:cs="Arial"/>
          <w:szCs w:val="24"/>
        </w:rPr>
        <w:t xml:space="preserve"> related groups such as people with impairments</w:t>
      </w:r>
      <w:r w:rsidR="00A61859">
        <w:rPr>
          <w:rFonts w:cs="Arial"/>
          <w:szCs w:val="24"/>
        </w:rPr>
        <w:t>,</w:t>
      </w:r>
      <w:r w:rsidR="007F1C42">
        <w:rPr>
          <w:rFonts w:cs="Arial"/>
          <w:szCs w:val="24"/>
        </w:rPr>
        <w:t xml:space="preserve"> </w:t>
      </w:r>
      <w:r w:rsidR="00703039" w:rsidRPr="003919B1">
        <w:rPr>
          <w:rFonts w:cs="Arial"/>
          <w:szCs w:val="24"/>
        </w:rPr>
        <w:t>only households with an income of less than c£20,000 qualify for concessions.</w:t>
      </w:r>
    </w:p>
    <w:p w:rsidR="00A61859" w:rsidRDefault="00A61859" w:rsidP="00C46292">
      <w:pPr>
        <w:pStyle w:val="ListParagraph"/>
      </w:pPr>
    </w:p>
    <w:p w:rsidR="00A61859" w:rsidRPr="00EE1222" w:rsidRDefault="00A61859" w:rsidP="00A37190">
      <w:pPr>
        <w:pStyle w:val="PlainText"/>
        <w:numPr>
          <w:ilvl w:val="0"/>
          <w:numId w:val="2"/>
        </w:numPr>
        <w:jc w:val="both"/>
        <w:rPr>
          <w:rFonts w:cs="Arial"/>
          <w:szCs w:val="24"/>
        </w:rPr>
      </w:pPr>
      <w:r w:rsidRPr="00EE1222">
        <w:lastRenderedPageBreak/>
        <w:t>The Council, in partnership with Fusion, is working towards leisure facilities being able to stand alone financially. These changes could help the Council to get to this position.</w:t>
      </w:r>
    </w:p>
    <w:p w:rsidR="00BF1972" w:rsidRDefault="00BF1972" w:rsidP="00BF1972">
      <w:pPr>
        <w:pStyle w:val="ListParagraph"/>
      </w:pPr>
    </w:p>
    <w:p w:rsidR="00B235E6" w:rsidRPr="00E43405" w:rsidRDefault="00647180" w:rsidP="005012ED">
      <w:pPr>
        <w:pStyle w:val="PlainText"/>
        <w:jc w:val="both"/>
        <w:rPr>
          <w:rFonts w:cs="Arial"/>
          <w:b/>
          <w:szCs w:val="24"/>
        </w:rPr>
      </w:pPr>
      <w:r>
        <w:rPr>
          <w:rFonts w:cs="Arial"/>
          <w:b/>
          <w:szCs w:val="24"/>
        </w:rPr>
        <w:t>The n</w:t>
      </w:r>
      <w:r w:rsidR="00B235E6" w:rsidRPr="00E43405">
        <w:rPr>
          <w:rFonts w:cs="Arial"/>
          <w:b/>
          <w:szCs w:val="24"/>
        </w:rPr>
        <w:t xml:space="preserve">ational picture </w:t>
      </w:r>
    </w:p>
    <w:p w:rsidR="00B235E6" w:rsidRDefault="00B235E6" w:rsidP="005012ED">
      <w:pPr>
        <w:pStyle w:val="PlainText"/>
        <w:jc w:val="both"/>
        <w:rPr>
          <w:rFonts w:cs="Arial"/>
          <w:szCs w:val="24"/>
        </w:rPr>
      </w:pPr>
    </w:p>
    <w:p w:rsidR="00B235E6" w:rsidRPr="00CC34D4" w:rsidRDefault="00B235E6" w:rsidP="00A37190">
      <w:pPr>
        <w:pStyle w:val="NormalWeb"/>
        <w:numPr>
          <w:ilvl w:val="0"/>
          <w:numId w:val="2"/>
        </w:numPr>
        <w:shd w:val="clear" w:color="auto" w:fill="FFFFFF"/>
        <w:spacing w:before="120" w:beforeAutospacing="0" w:after="120" w:afterAutospacing="0"/>
        <w:jc w:val="both"/>
        <w:rPr>
          <w:rFonts w:ascii="Arial" w:hAnsi="Arial" w:cs="Arial"/>
        </w:rPr>
      </w:pPr>
      <w:r w:rsidRPr="00F176CB">
        <w:rPr>
          <w:rFonts w:ascii="Arial" w:hAnsi="Arial" w:cs="Arial"/>
          <w:bCs/>
          <w:color w:val="222222"/>
        </w:rPr>
        <w:t>Universal Credit was</w:t>
      </w:r>
      <w:r w:rsidRPr="00E43405">
        <w:rPr>
          <w:rFonts w:ascii="Arial" w:hAnsi="Arial" w:cs="Arial"/>
          <w:b/>
          <w:bCs/>
          <w:color w:val="222222"/>
        </w:rPr>
        <w:t xml:space="preserve"> </w:t>
      </w:r>
      <w:r w:rsidRPr="00E43405">
        <w:rPr>
          <w:rFonts w:ascii="Arial" w:hAnsi="Arial" w:cs="Arial"/>
          <w:color w:val="222222"/>
        </w:rPr>
        <w:t>legislated for in the </w:t>
      </w:r>
      <w:hyperlink r:id="rId11" w:tooltip="Welfare Reform Act 2012" w:history="1">
        <w:r w:rsidRPr="00E43405">
          <w:rPr>
            <w:rStyle w:val="Hyperlink"/>
            <w:rFonts w:ascii="Arial" w:hAnsi="Arial" w:cs="Arial"/>
            <w:color w:val="0B0080"/>
          </w:rPr>
          <w:t>Welfare Reform Act 2012</w:t>
        </w:r>
      </w:hyperlink>
      <w:r w:rsidRPr="00E43405">
        <w:rPr>
          <w:rFonts w:ascii="Arial" w:hAnsi="Arial" w:cs="Arial"/>
          <w:color w:val="222222"/>
        </w:rPr>
        <w:t xml:space="preserve"> replac</w:t>
      </w:r>
      <w:r>
        <w:rPr>
          <w:rFonts w:ascii="Arial" w:hAnsi="Arial" w:cs="Arial"/>
          <w:color w:val="222222"/>
        </w:rPr>
        <w:t xml:space="preserve">ing </w:t>
      </w:r>
      <w:r w:rsidRPr="00E43405">
        <w:rPr>
          <w:rFonts w:ascii="Arial" w:hAnsi="Arial" w:cs="Arial"/>
          <w:color w:val="222222"/>
        </w:rPr>
        <w:t xml:space="preserve">six means tested "legacy" benefits and tax credits. </w:t>
      </w:r>
    </w:p>
    <w:p w:rsidR="00B235E6" w:rsidRDefault="00B235E6" w:rsidP="00A37190">
      <w:pPr>
        <w:pStyle w:val="PlainText"/>
        <w:numPr>
          <w:ilvl w:val="0"/>
          <w:numId w:val="2"/>
        </w:numPr>
        <w:jc w:val="both"/>
        <w:rPr>
          <w:rFonts w:cs="Arial"/>
          <w:szCs w:val="24"/>
        </w:rPr>
      </w:pPr>
      <w:r w:rsidRPr="000134AF">
        <w:rPr>
          <w:rFonts w:cs="Arial"/>
          <w:szCs w:val="24"/>
        </w:rPr>
        <w:t xml:space="preserve">Most </w:t>
      </w:r>
      <w:r>
        <w:rPr>
          <w:rFonts w:cs="Arial"/>
          <w:szCs w:val="24"/>
        </w:rPr>
        <w:t>local authorities</w:t>
      </w:r>
      <w:r w:rsidRPr="000134AF">
        <w:rPr>
          <w:rFonts w:cs="Arial"/>
          <w:szCs w:val="24"/>
        </w:rPr>
        <w:t xml:space="preserve"> have similar concessions criteria to Oxford, albeit </w:t>
      </w:r>
      <w:r w:rsidR="0006480F">
        <w:rPr>
          <w:rFonts w:cs="Arial"/>
          <w:szCs w:val="24"/>
        </w:rPr>
        <w:t xml:space="preserve">Oxford </w:t>
      </w:r>
      <w:r w:rsidR="00A61859">
        <w:rPr>
          <w:rFonts w:cs="Arial"/>
          <w:szCs w:val="24"/>
        </w:rPr>
        <w:t>has</w:t>
      </w:r>
      <w:r w:rsidR="00A61859" w:rsidRPr="000134AF">
        <w:rPr>
          <w:rFonts w:cs="Arial"/>
          <w:szCs w:val="24"/>
        </w:rPr>
        <w:t xml:space="preserve"> </w:t>
      </w:r>
      <w:r w:rsidRPr="000134AF">
        <w:rPr>
          <w:rFonts w:cs="Arial"/>
          <w:szCs w:val="24"/>
        </w:rPr>
        <w:t xml:space="preserve">a more </w:t>
      </w:r>
      <w:r w:rsidRPr="00370A86">
        <w:rPr>
          <w:rFonts w:cs="Arial"/>
          <w:szCs w:val="24"/>
        </w:rPr>
        <w:t xml:space="preserve">comprehensive list of qualifying criteria than most places. A key difference is that while </w:t>
      </w:r>
      <w:r w:rsidR="0006480F">
        <w:rPr>
          <w:rFonts w:cs="Arial"/>
          <w:szCs w:val="24"/>
        </w:rPr>
        <w:t xml:space="preserve">Oxford’s </w:t>
      </w:r>
      <w:r w:rsidRPr="00370A86">
        <w:rPr>
          <w:rFonts w:cs="Arial"/>
          <w:szCs w:val="24"/>
        </w:rPr>
        <w:t xml:space="preserve">standard </w:t>
      </w:r>
      <w:r w:rsidR="00487B6D">
        <w:rPr>
          <w:rFonts w:cs="Arial"/>
          <w:szCs w:val="24"/>
        </w:rPr>
        <w:t>membership rates (</w:t>
      </w:r>
      <w:r w:rsidRPr="00370A86">
        <w:rPr>
          <w:rFonts w:cs="Arial"/>
          <w:szCs w:val="24"/>
        </w:rPr>
        <w:t>£4</w:t>
      </w:r>
      <w:r w:rsidR="0055346B">
        <w:rPr>
          <w:rFonts w:cs="Arial"/>
          <w:szCs w:val="24"/>
        </w:rPr>
        <w:t>7</w:t>
      </w:r>
      <w:r w:rsidRPr="00370A86">
        <w:rPr>
          <w:rFonts w:cs="Arial"/>
          <w:szCs w:val="24"/>
        </w:rPr>
        <w:t xml:space="preserve"> per month</w:t>
      </w:r>
      <w:r w:rsidR="00487B6D">
        <w:rPr>
          <w:rFonts w:cs="Arial"/>
          <w:szCs w:val="24"/>
        </w:rPr>
        <w:t xml:space="preserve">) </w:t>
      </w:r>
      <w:r w:rsidRPr="00370A86">
        <w:rPr>
          <w:rFonts w:cs="Arial"/>
          <w:szCs w:val="24"/>
        </w:rPr>
        <w:t xml:space="preserve">are </w:t>
      </w:r>
      <w:r w:rsidR="00B01234">
        <w:rPr>
          <w:rFonts w:cs="Arial"/>
          <w:szCs w:val="24"/>
        </w:rPr>
        <w:t>relatively high cost</w:t>
      </w:r>
      <w:r w:rsidR="00D17637">
        <w:rPr>
          <w:rFonts w:cs="Arial"/>
          <w:szCs w:val="24"/>
        </w:rPr>
        <w:t xml:space="preserve"> (shown in </w:t>
      </w:r>
      <w:r w:rsidR="00FA6C09" w:rsidRPr="00647180">
        <w:rPr>
          <w:rFonts w:cs="Arial"/>
          <w:szCs w:val="24"/>
        </w:rPr>
        <w:t>A</w:t>
      </w:r>
      <w:r w:rsidR="00D17637" w:rsidRPr="00647180">
        <w:rPr>
          <w:rFonts w:cs="Arial"/>
          <w:szCs w:val="24"/>
        </w:rPr>
        <w:t xml:space="preserve">ppendix </w:t>
      </w:r>
      <w:r w:rsidR="00FA6C09">
        <w:rPr>
          <w:rFonts w:cs="Arial"/>
          <w:szCs w:val="24"/>
        </w:rPr>
        <w:t>3</w:t>
      </w:r>
      <w:r w:rsidR="00D17637" w:rsidRPr="00647180">
        <w:rPr>
          <w:rFonts w:cs="Arial"/>
          <w:szCs w:val="24"/>
        </w:rPr>
        <w:t xml:space="preserve">) </w:t>
      </w:r>
      <w:r w:rsidR="00B01234" w:rsidRPr="00647180">
        <w:rPr>
          <w:rFonts w:cs="Arial"/>
          <w:szCs w:val="24"/>
        </w:rPr>
        <w:t>the</w:t>
      </w:r>
      <w:r w:rsidR="00B01234">
        <w:rPr>
          <w:rFonts w:cs="Arial"/>
          <w:szCs w:val="24"/>
        </w:rPr>
        <w:t xml:space="preserve"> </w:t>
      </w:r>
      <w:r w:rsidR="0006480F">
        <w:rPr>
          <w:rFonts w:cs="Arial"/>
          <w:szCs w:val="24"/>
        </w:rPr>
        <w:t>C</w:t>
      </w:r>
      <w:r w:rsidR="00B01234">
        <w:rPr>
          <w:rFonts w:cs="Arial"/>
          <w:szCs w:val="24"/>
        </w:rPr>
        <w:t>ouncil’s</w:t>
      </w:r>
      <w:r w:rsidRPr="00370A86">
        <w:rPr>
          <w:rFonts w:cs="Arial"/>
          <w:szCs w:val="24"/>
        </w:rPr>
        <w:t xml:space="preserve"> concession</w:t>
      </w:r>
      <w:r w:rsidR="00B01234">
        <w:rPr>
          <w:rFonts w:cs="Arial"/>
          <w:szCs w:val="24"/>
        </w:rPr>
        <w:t xml:space="preserve">ary prices are </w:t>
      </w:r>
      <w:r>
        <w:rPr>
          <w:rFonts w:cs="Arial"/>
          <w:szCs w:val="24"/>
        </w:rPr>
        <w:t xml:space="preserve">low </w:t>
      </w:r>
      <w:r w:rsidRPr="00370A86">
        <w:rPr>
          <w:rFonts w:cs="Arial"/>
          <w:szCs w:val="24"/>
        </w:rPr>
        <w:t>cost (</w:t>
      </w:r>
      <w:r w:rsidR="00FA6C09">
        <w:rPr>
          <w:rFonts w:cs="Arial"/>
          <w:szCs w:val="24"/>
        </w:rPr>
        <w:t>A</w:t>
      </w:r>
      <w:r w:rsidR="00D17637">
        <w:rPr>
          <w:rFonts w:cs="Arial"/>
          <w:szCs w:val="24"/>
        </w:rPr>
        <w:t xml:space="preserve">ppendix </w:t>
      </w:r>
      <w:r w:rsidR="00FA6C09">
        <w:rPr>
          <w:rFonts w:cs="Arial"/>
          <w:szCs w:val="24"/>
        </w:rPr>
        <w:t>4</w:t>
      </w:r>
      <w:r>
        <w:rPr>
          <w:rFonts w:cs="Arial"/>
          <w:szCs w:val="24"/>
        </w:rPr>
        <w:t>)</w:t>
      </w:r>
      <w:r w:rsidRPr="00370A86">
        <w:rPr>
          <w:rFonts w:cs="Arial"/>
          <w:szCs w:val="24"/>
        </w:rPr>
        <w:t>.</w:t>
      </w:r>
      <w:r w:rsidR="00D17637">
        <w:rPr>
          <w:rFonts w:cs="Arial"/>
          <w:szCs w:val="24"/>
        </w:rPr>
        <w:t xml:space="preserve"> </w:t>
      </w:r>
    </w:p>
    <w:p w:rsidR="00355A62" w:rsidRDefault="00355A62" w:rsidP="00355A62">
      <w:pPr>
        <w:pStyle w:val="PlainText"/>
        <w:ind w:left="720"/>
        <w:jc w:val="both"/>
        <w:rPr>
          <w:rFonts w:cs="Arial"/>
          <w:szCs w:val="24"/>
        </w:rPr>
      </w:pPr>
    </w:p>
    <w:p w:rsidR="00B235E6" w:rsidRDefault="00B235E6" w:rsidP="00A37190">
      <w:pPr>
        <w:pStyle w:val="PlainText"/>
        <w:numPr>
          <w:ilvl w:val="0"/>
          <w:numId w:val="2"/>
        </w:numPr>
        <w:jc w:val="both"/>
        <w:rPr>
          <w:rFonts w:cs="Arial"/>
          <w:szCs w:val="24"/>
        </w:rPr>
      </w:pPr>
      <w:r>
        <w:rPr>
          <w:rFonts w:cs="Arial"/>
          <w:szCs w:val="24"/>
        </w:rPr>
        <w:t>O</w:t>
      </w:r>
      <w:r w:rsidRPr="00E43405">
        <w:rPr>
          <w:rFonts w:cs="Arial"/>
          <w:szCs w:val="24"/>
        </w:rPr>
        <w:t xml:space="preserve">fficers </w:t>
      </w:r>
      <w:r>
        <w:rPr>
          <w:rFonts w:cs="Arial"/>
          <w:szCs w:val="24"/>
        </w:rPr>
        <w:t xml:space="preserve">from the leisure and welfare reform teams </w:t>
      </w:r>
      <w:r w:rsidRPr="00E43405">
        <w:rPr>
          <w:rFonts w:cs="Arial"/>
          <w:szCs w:val="24"/>
        </w:rPr>
        <w:t>have spoke</w:t>
      </w:r>
      <w:r>
        <w:rPr>
          <w:rFonts w:cs="Arial"/>
          <w:szCs w:val="24"/>
        </w:rPr>
        <w:t>n</w:t>
      </w:r>
      <w:r w:rsidRPr="00E43405">
        <w:rPr>
          <w:rFonts w:cs="Arial"/>
          <w:szCs w:val="24"/>
        </w:rPr>
        <w:t xml:space="preserve"> to a number of </w:t>
      </w:r>
      <w:r>
        <w:rPr>
          <w:rFonts w:cs="Arial"/>
          <w:szCs w:val="24"/>
        </w:rPr>
        <w:t>councils</w:t>
      </w:r>
      <w:r w:rsidRPr="00E43405">
        <w:rPr>
          <w:rFonts w:cs="Arial"/>
          <w:szCs w:val="24"/>
        </w:rPr>
        <w:t xml:space="preserve"> who</w:t>
      </w:r>
      <w:r w:rsidR="00D86098">
        <w:rPr>
          <w:rFonts w:cs="Arial"/>
          <w:szCs w:val="24"/>
        </w:rPr>
        <w:t xml:space="preserve"> have </w:t>
      </w:r>
      <w:r w:rsidRPr="00E43405">
        <w:rPr>
          <w:rFonts w:cs="Arial"/>
          <w:szCs w:val="24"/>
        </w:rPr>
        <w:t>review</w:t>
      </w:r>
      <w:r w:rsidR="00D86098">
        <w:rPr>
          <w:rFonts w:cs="Arial"/>
          <w:szCs w:val="24"/>
        </w:rPr>
        <w:t xml:space="preserve">ed </w:t>
      </w:r>
      <w:r w:rsidRPr="00E43405">
        <w:rPr>
          <w:rFonts w:cs="Arial"/>
          <w:szCs w:val="24"/>
        </w:rPr>
        <w:t xml:space="preserve">their </w:t>
      </w:r>
      <w:r>
        <w:rPr>
          <w:rFonts w:cs="Arial"/>
          <w:szCs w:val="24"/>
        </w:rPr>
        <w:t>concessions</w:t>
      </w:r>
      <w:r w:rsidRPr="00E43405">
        <w:rPr>
          <w:rFonts w:cs="Arial"/>
          <w:szCs w:val="24"/>
        </w:rPr>
        <w:t>, but l</w:t>
      </w:r>
      <w:r>
        <w:rPr>
          <w:rFonts w:cs="Arial"/>
          <w:szCs w:val="24"/>
        </w:rPr>
        <w:t xml:space="preserve">ocal sensitivities and finding an improved and equitable </w:t>
      </w:r>
      <w:r w:rsidRPr="00E43405">
        <w:rPr>
          <w:rFonts w:cs="Arial"/>
          <w:szCs w:val="24"/>
        </w:rPr>
        <w:t>option ha</w:t>
      </w:r>
      <w:r>
        <w:rPr>
          <w:rFonts w:cs="Arial"/>
          <w:szCs w:val="24"/>
        </w:rPr>
        <w:t>s meant only minimal changes have been made</w:t>
      </w:r>
      <w:r w:rsidRPr="00E43405">
        <w:rPr>
          <w:rFonts w:cs="Arial"/>
          <w:szCs w:val="24"/>
        </w:rPr>
        <w:t xml:space="preserve">. </w:t>
      </w:r>
    </w:p>
    <w:p w:rsidR="00B235E6" w:rsidRDefault="00B235E6" w:rsidP="005012ED">
      <w:pPr>
        <w:pStyle w:val="ListParagraph"/>
        <w:jc w:val="both"/>
      </w:pPr>
    </w:p>
    <w:p w:rsidR="00B235E6" w:rsidRDefault="00B235E6" w:rsidP="00A37190">
      <w:pPr>
        <w:pStyle w:val="PlainText"/>
        <w:numPr>
          <w:ilvl w:val="0"/>
          <w:numId w:val="2"/>
        </w:numPr>
        <w:jc w:val="both"/>
        <w:rPr>
          <w:rFonts w:cs="Arial"/>
          <w:szCs w:val="24"/>
        </w:rPr>
      </w:pPr>
      <w:r>
        <w:rPr>
          <w:rFonts w:cs="Arial"/>
          <w:szCs w:val="24"/>
        </w:rPr>
        <w:t xml:space="preserve">Where local authorities have increased their standard concessionary fees and charges they often bolster their offer with discounted or free sessions to help meet policy objectives in a similar way that </w:t>
      </w:r>
      <w:r w:rsidR="00FB7AF8">
        <w:rPr>
          <w:rFonts w:cs="Arial"/>
          <w:szCs w:val="24"/>
        </w:rPr>
        <w:t xml:space="preserve">The Council </w:t>
      </w:r>
      <w:r>
        <w:rPr>
          <w:rFonts w:cs="Arial"/>
          <w:szCs w:val="24"/>
        </w:rPr>
        <w:t>offer free swimming to under 17s.</w:t>
      </w:r>
    </w:p>
    <w:p w:rsidR="00B235E6" w:rsidRPr="00E43405" w:rsidRDefault="00B235E6" w:rsidP="005012ED">
      <w:pPr>
        <w:pStyle w:val="PlainText"/>
        <w:jc w:val="both"/>
        <w:rPr>
          <w:rFonts w:cs="Arial"/>
          <w:szCs w:val="24"/>
        </w:rPr>
      </w:pPr>
    </w:p>
    <w:p w:rsidR="00B235E6" w:rsidRPr="00E43405" w:rsidRDefault="00B235E6" w:rsidP="00A37190">
      <w:pPr>
        <w:pStyle w:val="PlainText"/>
        <w:numPr>
          <w:ilvl w:val="0"/>
          <w:numId w:val="2"/>
        </w:numPr>
        <w:jc w:val="both"/>
        <w:rPr>
          <w:rFonts w:cs="Arial"/>
          <w:szCs w:val="24"/>
        </w:rPr>
      </w:pPr>
      <w:r w:rsidRPr="00E43405">
        <w:rPr>
          <w:rFonts w:cs="Arial"/>
          <w:szCs w:val="24"/>
        </w:rPr>
        <w:t xml:space="preserve">Walsall is the only example </w:t>
      </w:r>
      <w:r w:rsidR="00FB7AF8">
        <w:rPr>
          <w:rFonts w:cs="Arial"/>
          <w:szCs w:val="24"/>
        </w:rPr>
        <w:t>Officers</w:t>
      </w:r>
      <w:r w:rsidRPr="00E43405">
        <w:rPr>
          <w:rFonts w:cs="Arial"/>
          <w:szCs w:val="24"/>
        </w:rPr>
        <w:t xml:space="preserve"> have found where household income is used; they include a threshold of £18,000 total household income</w:t>
      </w:r>
      <w:r>
        <w:rPr>
          <w:rFonts w:cs="Arial"/>
          <w:szCs w:val="24"/>
        </w:rPr>
        <w:t xml:space="preserve"> and</w:t>
      </w:r>
      <w:r w:rsidR="005012ED">
        <w:rPr>
          <w:rFonts w:cs="Arial"/>
          <w:szCs w:val="24"/>
        </w:rPr>
        <w:t xml:space="preserve"> </w:t>
      </w:r>
      <w:r w:rsidRPr="00E43405">
        <w:rPr>
          <w:rFonts w:cs="Arial"/>
          <w:szCs w:val="24"/>
        </w:rPr>
        <w:t xml:space="preserve">include other concessionary </w:t>
      </w:r>
      <w:r>
        <w:rPr>
          <w:rFonts w:cs="Arial"/>
          <w:szCs w:val="24"/>
        </w:rPr>
        <w:t xml:space="preserve">categories </w:t>
      </w:r>
      <w:r w:rsidRPr="00E43405">
        <w:rPr>
          <w:rFonts w:cs="Arial"/>
          <w:szCs w:val="24"/>
        </w:rPr>
        <w:t>alongside this.</w:t>
      </w:r>
      <w:r w:rsidR="00703039">
        <w:rPr>
          <w:rFonts w:cs="Arial"/>
          <w:szCs w:val="24"/>
        </w:rPr>
        <w:t xml:space="preserve"> </w:t>
      </w:r>
    </w:p>
    <w:p w:rsidR="0006480F" w:rsidRDefault="0006480F" w:rsidP="005012ED">
      <w:pPr>
        <w:pStyle w:val="PlainText"/>
        <w:jc w:val="both"/>
        <w:rPr>
          <w:rFonts w:cs="Arial"/>
          <w:b/>
          <w:szCs w:val="24"/>
        </w:rPr>
      </w:pPr>
    </w:p>
    <w:p w:rsidR="00A23A2A" w:rsidRPr="00A23A2A" w:rsidRDefault="005012ED" w:rsidP="005012ED">
      <w:pPr>
        <w:pStyle w:val="PlainText"/>
        <w:jc w:val="both"/>
        <w:rPr>
          <w:rFonts w:cs="Arial"/>
          <w:b/>
          <w:szCs w:val="24"/>
        </w:rPr>
      </w:pPr>
      <w:r>
        <w:rPr>
          <w:rFonts w:cs="Arial"/>
          <w:b/>
          <w:szCs w:val="24"/>
        </w:rPr>
        <w:t>The review</w:t>
      </w:r>
    </w:p>
    <w:p w:rsidR="0073032B" w:rsidRDefault="0073032B" w:rsidP="005012ED">
      <w:pPr>
        <w:pStyle w:val="PlainText"/>
        <w:jc w:val="both"/>
        <w:rPr>
          <w:rFonts w:cs="Arial"/>
          <w:szCs w:val="24"/>
        </w:rPr>
      </w:pPr>
    </w:p>
    <w:p w:rsidR="0073032B" w:rsidRDefault="004C7D1C" w:rsidP="00A37190">
      <w:pPr>
        <w:pStyle w:val="PlainText"/>
        <w:numPr>
          <w:ilvl w:val="0"/>
          <w:numId w:val="2"/>
        </w:numPr>
        <w:jc w:val="both"/>
        <w:rPr>
          <w:rFonts w:cs="Arial"/>
          <w:szCs w:val="24"/>
        </w:rPr>
      </w:pPr>
      <w:r>
        <w:rPr>
          <w:rFonts w:cs="Arial"/>
          <w:szCs w:val="24"/>
        </w:rPr>
        <w:t xml:space="preserve">The review </w:t>
      </w:r>
      <w:r w:rsidR="0073032B">
        <w:rPr>
          <w:rFonts w:cs="Arial"/>
          <w:szCs w:val="24"/>
        </w:rPr>
        <w:t xml:space="preserve">has involved </w:t>
      </w:r>
      <w:r>
        <w:rPr>
          <w:rFonts w:cs="Arial"/>
          <w:szCs w:val="24"/>
        </w:rPr>
        <w:t xml:space="preserve">checking </w:t>
      </w:r>
      <w:r w:rsidR="0073032B">
        <w:rPr>
          <w:rFonts w:cs="Arial"/>
          <w:szCs w:val="24"/>
        </w:rPr>
        <w:t xml:space="preserve">how many people qualify under </w:t>
      </w:r>
      <w:r w:rsidR="0018779B">
        <w:rPr>
          <w:rFonts w:cs="Arial"/>
          <w:szCs w:val="24"/>
        </w:rPr>
        <w:t xml:space="preserve">each </w:t>
      </w:r>
      <w:r w:rsidR="00752DB7">
        <w:rPr>
          <w:rFonts w:cs="Arial"/>
          <w:szCs w:val="24"/>
        </w:rPr>
        <w:t xml:space="preserve">criterion </w:t>
      </w:r>
      <w:r w:rsidR="0073032B">
        <w:rPr>
          <w:rFonts w:cs="Arial"/>
          <w:szCs w:val="24"/>
        </w:rPr>
        <w:t xml:space="preserve">and working with Fusion to understand the levels of </w:t>
      </w:r>
      <w:r w:rsidR="00A23A2A">
        <w:rPr>
          <w:rFonts w:cs="Arial"/>
          <w:szCs w:val="24"/>
        </w:rPr>
        <w:t xml:space="preserve">up </w:t>
      </w:r>
      <w:r w:rsidR="0073032B">
        <w:rPr>
          <w:rFonts w:cs="Arial"/>
          <w:szCs w:val="24"/>
        </w:rPr>
        <w:t xml:space="preserve">take by people in </w:t>
      </w:r>
      <w:r w:rsidR="00A23A2A">
        <w:rPr>
          <w:rFonts w:cs="Arial"/>
          <w:szCs w:val="24"/>
        </w:rPr>
        <w:t xml:space="preserve">all of the </w:t>
      </w:r>
      <w:r w:rsidR="0073032B">
        <w:rPr>
          <w:rFonts w:cs="Arial"/>
          <w:szCs w:val="24"/>
        </w:rPr>
        <w:t xml:space="preserve">concessionary groups. </w:t>
      </w:r>
    </w:p>
    <w:p w:rsidR="00D86098" w:rsidRDefault="00D86098" w:rsidP="005012ED">
      <w:pPr>
        <w:pStyle w:val="ListParagraph"/>
        <w:jc w:val="both"/>
      </w:pPr>
    </w:p>
    <w:p w:rsidR="009234D3" w:rsidRPr="009234D3" w:rsidRDefault="005C2DF7" w:rsidP="009234D3">
      <w:pPr>
        <w:pStyle w:val="PlainText"/>
        <w:numPr>
          <w:ilvl w:val="0"/>
          <w:numId w:val="2"/>
        </w:numPr>
        <w:jc w:val="both"/>
        <w:rPr>
          <w:rFonts w:cs="Arial"/>
          <w:szCs w:val="24"/>
        </w:rPr>
      </w:pPr>
      <w:r w:rsidRPr="009234D3">
        <w:rPr>
          <w:rFonts w:cs="Arial"/>
          <w:szCs w:val="24"/>
        </w:rPr>
        <w:t>Any financial benefits from changes in fees and charges are contractually Fusion’s as is the risk</w:t>
      </w:r>
      <w:r w:rsidR="0018779B" w:rsidRPr="009234D3">
        <w:rPr>
          <w:rFonts w:cs="Arial"/>
          <w:szCs w:val="24"/>
        </w:rPr>
        <w:t xml:space="preserve"> on achieving the income</w:t>
      </w:r>
      <w:r w:rsidR="009234D3" w:rsidRPr="009234D3">
        <w:rPr>
          <w:rFonts w:cs="Arial"/>
          <w:szCs w:val="24"/>
        </w:rPr>
        <w:t xml:space="preserve">. The Council can though veto concessionary increases above RPIX, which means a shared benefit can be negotiated. </w:t>
      </w:r>
    </w:p>
    <w:p w:rsidR="009234D3" w:rsidRDefault="009234D3" w:rsidP="009234D3">
      <w:pPr>
        <w:pStyle w:val="ListParagraph"/>
        <w:rPr>
          <w:szCs w:val="22"/>
        </w:rPr>
      </w:pPr>
    </w:p>
    <w:p w:rsidR="00EC0663" w:rsidRPr="009234D3" w:rsidRDefault="009234D3" w:rsidP="009234D3">
      <w:pPr>
        <w:pStyle w:val="PlainText"/>
        <w:numPr>
          <w:ilvl w:val="0"/>
          <w:numId w:val="2"/>
        </w:numPr>
        <w:jc w:val="both"/>
        <w:rPr>
          <w:rFonts w:cs="Arial"/>
          <w:szCs w:val="24"/>
        </w:rPr>
      </w:pPr>
      <w:r>
        <w:rPr>
          <w:rFonts w:cs="Arial"/>
          <w:szCs w:val="22"/>
        </w:rPr>
        <w:t>A</w:t>
      </w:r>
      <w:r w:rsidR="00EC0663" w:rsidRPr="009234D3">
        <w:rPr>
          <w:rFonts w:cs="Arial"/>
          <w:szCs w:val="22"/>
        </w:rPr>
        <w:t xml:space="preserve">ny </w:t>
      </w:r>
      <w:r>
        <w:rPr>
          <w:rFonts w:cs="Arial"/>
          <w:szCs w:val="22"/>
        </w:rPr>
        <w:t xml:space="preserve">annual </w:t>
      </w:r>
      <w:r w:rsidR="00EC0663" w:rsidRPr="009234D3">
        <w:rPr>
          <w:rFonts w:cs="Arial"/>
          <w:szCs w:val="22"/>
        </w:rPr>
        <w:t>surplus achieved by Fusion</w:t>
      </w:r>
      <w:r>
        <w:rPr>
          <w:rFonts w:cs="Arial"/>
          <w:szCs w:val="22"/>
        </w:rPr>
        <w:t>,</w:t>
      </w:r>
      <w:r w:rsidR="00EC0663" w:rsidRPr="009234D3">
        <w:rPr>
          <w:rFonts w:cs="Arial"/>
          <w:szCs w:val="22"/>
        </w:rPr>
        <w:t xml:space="preserve"> above that in the contract</w:t>
      </w:r>
      <w:r>
        <w:rPr>
          <w:rFonts w:cs="Arial"/>
          <w:szCs w:val="22"/>
        </w:rPr>
        <w:t>ual</w:t>
      </w:r>
      <w:r w:rsidR="00EC0663" w:rsidRPr="009234D3">
        <w:rPr>
          <w:rFonts w:cs="Arial"/>
          <w:szCs w:val="22"/>
        </w:rPr>
        <w:t xml:space="preserve"> </w:t>
      </w:r>
      <w:r>
        <w:rPr>
          <w:rFonts w:cs="Arial"/>
          <w:szCs w:val="22"/>
        </w:rPr>
        <w:t>agreement,</w:t>
      </w:r>
      <w:r w:rsidR="00EC0663" w:rsidRPr="009234D3">
        <w:rPr>
          <w:rFonts w:cs="Arial"/>
          <w:szCs w:val="22"/>
        </w:rPr>
        <w:t xml:space="preserve"> would be shared between the Council and Fusion on the basis of an incremental percentage (i.e. additional surplus up to £50k would equate 60% to the Council and 40% to Fusion). </w:t>
      </w:r>
    </w:p>
    <w:p w:rsidR="00D86098" w:rsidRDefault="00D86098" w:rsidP="005012ED">
      <w:pPr>
        <w:pStyle w:val="ListParagraph"/>
        <w:jc w:val="both"/>
      </w:pPr>
    </w:p>
    <w:p w:rsidR="00D86098" w:rsidRDefault="00F92097" w:rsidP="009234D3">
      <w:pPr>
        <w:pStyle w:val="PlainText"/>
        <w:numPr>
          <w:ilvl w:val="0"/>
          <w:numId w:val="2"/>
        </w:numPr>
        <w:jc w:val="both"/>
        <w:rPr>
          <w:rFonts w:cs="Arial"/>
          <w:szCs w:val="24"/>
        </w:rPr>
      </w:pPr>
      <w:r>
        <w:rPr>
          <w:rFonts w:cs="Arial"/>
          <w:szCs w:val="24"/>
        </w:rPr>
        <w:t xml:space="preserve">The Councils </w:t>
      </w:r>
      <w:r w:rsidR="00D86098">
        <w:rPr>
          <w:rFonts w:cs="Arial"/>
          <w:szCs w:val="24"/>
        </w:rPr>
        <w:t>leisure ce</w:t>
      </w:r>
      <w:r w:rsidR="00EE1222">
        <w:rPr>
          <w:rFonts w:cs="Arial"/>
          <w:szCs w:val="24"/>
        </w:rPr>
        <w:t>ntres are busy at peak times (4</w:t>
      </w:r>
      <w:r w:rsidR="00DE00A4">
        <w:rPr>
          <w:rFonts w:cs="Arial"/>
          <w:szCs w:val="24"/>
        </w:rPr>
        <w:t>pm</w:t>
      </w:r>
      <w:r w:rsidR="00EE1222">
        <w:rPr>
          <w:rFonts w:cs="Arial"/>
          <w:szCs w:val="24"/>
        </w:rPr>
        <w:t xml:space="preserve"> to </w:t>
      </w:r>
      <w:r w:rsidR="00D86098">
        <w:rPr>
          <w:rFonts w:cs="Arial"/>
          <w:szCs w:val="24"/>
        </w:rPr>
        <w:t>8pm on weekdays) and in common with many service providers we use off peak pricing to encourage usage at quieter times.</w:t>
      </w:r>
    </w:p>
    <w:p w:rsidR="00B235E6" w:rsidRDefault="00B235E6" w:rsidP="005012ED">
      <w:pPr>
        <w:pStyle w:val="ListParagraph"/>
        <w:jc w:val="both"/>
      </w:pPr>
    </w:p>
    <w:p w:rsidR="009C42B0" w:rsidRPr="004A024C" w:rsidRDefault="005012ED" w:rsidP="009234D3">
      <w:pPr>
        <w:pStyle w:val="PlainText"/>
        <w:numPr>
          <w:ilvl w:val="0"/>
          <w:numId w:val="2"/>
        </w:numPr>
        <w:jc w:val="both"/>
        <w:rPr>
          <w:rFonts w:cs="Arial"/>
          <w:szCs w:val="24"/>
        </w:rPr>
      </w:pPr>
      <w:r w:rsidRPr="004A024C">
        <w:rPr>
          <w:rFonts w:cs="Arial"/>
          <w:bCs/>
          <w:szCs w:val="24"/>
        </w:rPr>
        <w:t>The Council has</w:t>
      </w:r>
      <w:r w:rsidR="00B235E6" w:rsidRPr="004A024C">
        <w:rPr>
          <w:rFonts w:cs="Arial"/>
          <w:bCs/>
          <w:szCs w:val="24"/>
        </w:rPr>
        <w:t xml:space="preserve"> agreed that concessions will be given to people benefiting from Council Tax Reduction Scheme and/or receiving the housing element of Universal Credit. </w:t>
      </w:r>
      <w:r w:rsidR="00D86098" w:rsidRPr="004A024C">
        <w:rPr>
          <w:rFonts w:cs="Arial"/>
          <w:bCs/>
          <w:szCs w:val="24"/>
        </w:rPr>
        <w:t>There are also concessionary categories that no longer exi</w:t>
      </w:r>
      <w:r w:rsidRPr="004A024C">
        <w:rPr>
          <w:rFonts w:cs="Arial"/>
          <w:bCs/>
          <w:szCs w:val="24"/>
        </w:rPr>
        <w:t>s</w:t>
      </w:r>
      <w:r w:rsidR="00D86098" w:rsidRPr="004A024C">
        <w:rPr>
          <w:rFonts w:cs="Arial"/>
          <w:bCs/>
          <w:szCs w:val="24"/>
        </w:rPr>
        <w:t xml:space="preserve">t and others that would no longer be relevant if we introduce the new criteria. </w:t>
      </w:r>
    </w:p>
    <w:p w:rsidR="004A024C" w:rsidRPr="004A024C" w:rsidRDefault="004A024C" w:rsidP="004A024C">
      <w:pPr>
        <w:pStyle w:val="PlainText"/>
        <w:ind w:left="720"/>
        <w:jc w:val="both"/>
        <w:rPr>
          <w:rFonts w:cs="Arial"/>
          <w:szCs w:val="24"/>
        </w:rPr>
      </w:pPr>
    </w:p>
    <w:p w:rsidR="00B235E6" w:rsidRPr="00AB5FF4" w:rsidRDefault="00B235E6" w:rsidP="009234D3">
      <w:pPr>
        <w:pStyle w:val="PlainText"/>
        <w:numPr>
          <w:ilvl w:val="0"/>
          <w:numId w:val="2"/>
        </w:numPr>
        <w:jc w:val="both"/>
        <w:rPr>
          <w:rFonts w:cs="Arial"/>
          <w:bCs/>
          <w:szCs w:val="24"/>
        </w:rPr>
      </w:pPr>
      <w:r w:rsidRPr="00113767">
        <w:rPr>
          <w:rFonts w:cs="Arial"/>
          <w:szCs w:val="24"/>
        </w:rPr>
        <w:lastRenderedPageBreak/>
        <w:t>Officers have compare</w:t>
      </w:r>
      <w:r w:rsidR="0006480F">
        <w:rPr>
          <w:rFonts w:cs="Arial"/>
          <w:szCs w:val="24"/>
        </w:rPr>
        <w:t>d</w:t>
      </w:r>
      <w:r w:rsidRPr="00113767">
        <w:rPr>
          <w:rFonts w:cs="Arial"/>
          <w:szCs w:val="24"/>
        </w:rPr>
        <w:t xml:space="preserve"> how many people qualify for the current benefits against how many people would qualify using the new criteria. This is difficult due to some benefits being awarded at a household level, rather than individual level. </w:t>
      </w:r>
      <w:r w:rsidR="00652BE6">
        <w:rPr>
          <w:rFonts w:cs="Arial"/>
          <w:szCs w:val="24"/>
        </w:rPr>
        <w:t xml:space="preserve">We know that </w:t>
      </w:r>
      <w:r w:rsidRPr="00113767">
        <w:rPr>
          <w:rFonts w:cs="Arial"/>
          <w:szCs w:val="24"/>
        </w:rPr>
        <w:t xml:space="preserve">13,627 </w:t>
      </w:r>
      <w:r>
        <w:rPr>
          <w:rFonts w:cs="Arial"/>
          <w:szCs w:val="24"/>
        </w:rPr>
        <w:t>individuals</w:t>
      </w:r>
      <w:r w:rsidRPr="00113767">
        <w:rPr>
          <w:rFonts w:cs="Arial"/>
          <w:szCs w:val="24"/>
        </w:rPr>
        <w:t xml:space="preserve"> and 11,065 households qualify under the current criteria an</w:t>
      </w:r>
      <w:r>
        <w:rPr>
          <w:rFonts w:cs="Arial"/>
          <w:szCs w:val="24"/>
        </w:rPr>
        <w:t xml:space="preserve">d this would reduce to </w:t>
      </w:r>
      <w:r w:rsidR="005012ED">
        <w:rPr>
          <w:rFonts w:cs="Arial"/>
          <w:szCs w:val="24"/>
        </w:rPr>
        <w:t xml:space="preserve">1,600 Universal Credit </w:t>
      </w:r>
      <w:r>
        <w:rPr>
          <w:rFonts w:cs="Arial"/>
          <w:szCs w:val="24"/>
        </w:rPr>
        <w:t>housing element individuals</w:t>
      </w:r>
      <w:r w:rsidR="00652BE6">
        <w:rPr>
          <w:rFonts w:cs="Arial"/>
          <w:szCs w:val="24"/>
        </w:rPr>
        <w:t xml:space="preserve"> and 5,500 C</w:t>
      </w:r>
      <w:r w:rsidR="00FB7AF8">
        <w:rPr>
          <w:rFonts w:cs="Arial"/>
          <w:szCs w:val="24"/>
        </w:rPr>
        <w:t xml:space="preserve">ouncil </w:t>
      </w:r>
      <w:r w:rsidR="00652BE6">
        <w:rPr>
          <w:rFonts w:cs="Arial"/>
          <w:szCs w:val="24"/>
        </w:rPr>
        <w:t>T</w:t>
      </w:r>
      <w:r w:rsidR="00FB7AF8">
        <w:rPr>
          <w:rFonts w:cs="Arial"/>
          <w:szCs w:val="24"/>
        </w:rPr>
        <w:t xml:space="preserve">ax </w:t>
      </w:r>
      <w:r w:rsidR="00652BE6">
        <w:rPr>
          <w:rFonts w:cs="Arial"/>
          <w:szCs w:val="24"/>
        </w:rPr>
        <w:t>R</w:t>
      </w:r>
      <w:r w:rsidR="00FB7AF8">
        <w:rPr>
          <w:rFonts w:cs="Arial"/>
          <w:szCs w:val="24"/>
        </w:rPr>
        <w:t xml:space="preserve">eduction </w:t>
      </w:r>
      <w:r w:rsidR="00652BE6">
        <w:rPr>
          <w:rFonts w:cs="Arial"/>
          <w:szCs w:val="24"/>
        </w:rPr>
        <w:t>S</w:t>
      </w:r>
      <w:r w:rsidR="00FB7AF8">
        <w:rPr>
          <w:rFonts w:cs="Arial"/>
          <w:szCs w:val="24"/>
        </w:rPr>
        <w:t>cheme</w:t>
      </w:r>
      <w:r w:rsidR="00652BE6">
        <w:rPr>
          <w:rFonts w:cs="Arial"/>
          <w:szCs w:val="24"/>
        </w:rPr>
        <w:t xml:space="preserve"> households under the proposed changes</w:t>
      </w:r>
      <w:r>
        <w:rPr>
          <w:rFonts w:cs="Arial"/>
          <w:szCs w:val="24"/>
        </w:rPr>
        <w:t>.</w:t>
      </w:r>
      <w:r w:rsidR="00652BE6">
        <w:rPr>
          <w:rFonts w:cs="Arial"/>
          <w:szCs w:val="24"/>
        </w:rPr>
        <w:t xml:space="preserve"> </w:t>
      </w:r>
    </w:p>
    <w:p w:rsidR="00251F5C" w:rsidRDefault="00251F5C" w:rsidP="00251F5C">
      <w:pPr>
        <w:pStyle w:val="ListParagraph"/>
        <w:rPr>
          <w:bCs/>
        </w:rPr>
      </w:pPr>
    </w:p>
    <w:p w:rsidR="00251F5C" w:rsidRDefault="00251F5C" w:rsidP="009234D3">
      <w:pPr>
        <w:pStyle w:val="ListParagraph"/>
        <w:numPr>
          <w:ilvl w:val="0"/>
          <w:numId w:val="2"/>
        </w:numPr>
        <w:jc w:val="both"/>
      </w:pPr>
      <w:r w:rsidRPr="00251F5C">
        <w:t xml:space="preserve">Using </w:t>
      </w:r>
      <w:r w:rsidR="0006480F">
        <w:t xml:space="preserve">the </w:t>
      </w:r>
      <w:r w:rsidR="00DA6FE1" w:rsidRPr="004A024C">
        <w:rPr>
          <w:bCs/>
        </w:rPr>
        <w:t>Council Tax Reduction Scheme</w:t>
      </w:r>
      <w:r w:rsidRPr="00251F5C">
        <w:t xml:space="preserve"> as a qualifying criterion would mean that all the members of </w:t>
      </w:r>
      <w:r w:rsidR="00652BE6">
        <w:t>a</w:t>
      </w:r>
      <w:r w:rsidR="00652BE6" w:rsidRPr="00251F5C">
        <w:t xml:space="preserve"> </w:t>
      </w:r>
      <w:r w:rsidRPr="00251F5C">
        <w:t>low income household</w:t>
      </w:r>
      <w:r w:rsidR="00652BE6">
        <w:t>,</w:t>
      </w:r>
      <w:r w:rsidRPr="00251F5C">
        <w:t xml:space="preserve"> i.e. young people, would still be able to access the scheme as it would</w:t>
      </w:r>
      <w:r>
        <w:t xml:space="preserve"> </w:t>
      </w:r>
      <w:r w:rsidRPr="00251F5C">
        <w:t>n</w:t>
      </w:r>
      <w:r>
        <w:t>o</w:t>
      </w:r>
      <w:r w:rsidRPr="00251F5C">
        <w:t xml:space="preserve">t be reliant on each leisure centre user </w:t>
      </w:r>
      <w:r w:rsidR="00652BE6">
        <w:t>having</w:t>
      </w:r>
      <w:r w:rsidRPr="00251F5C">
        <w:t xml:space="preserve"> their own income type (which y</w:t>
      </w:r>
      <w:r>
        <w:t>oung people in education would no</w:t>
      </w:r>
      <w:r w:rsidRPr="00251F5C">
        <w:t xml:space="preserve">t have). There are other ways of capturing these groups such as granting all under 17s or 18s etc. concession </w:t>
      </w:r>
      <w:r w:rsidR="00652BE6">
        <w:t xml:space="preserve">eligibility </w:t>
      </w:r>
      <w:r w:rsidRPr="00251F5C">
        <w:t>but this would mean that young people from high income families would be eligible.</w:t>
      </w:r>
    </w:p>
    <w:p w:rsidR="00251F5C" w:rsidRDefault="00251F5C" w:rsidP="00251F5C">
      <w:pPr>
        <w:pStyle w:val="ListParagraph"/>
      </w:pPr>
    </w:p>
    <w:p w:rsidR="00251F5C" w:rsidRPr="00251F5C" w:rsidRDefault="00355A62" w:rsidP="009234D3">
      <w:pPr>
        <w:pStyle w:val="ListParagraph"/>
        <w:numPr>
          <w:ilvl w:val="0"/>
          <w:numId w:val="2"/>
        </w:numPr>
        <w:jc w:val="both"/>
      </w:pPr>
      <w:r>
        <w:t>T</w:t>
      </w:r>
      <w:r w:rsidR="00251F5C" w:rsidRPr="00251F5C">
        <w:t xml:space="preserve">he </w:t>
      </w:r>
      <w:r w:rsidR="00251F5C" w:rsidRPr="004A024C">
        <w:t xml:space="preserve">Universal Credit Housing </w:t>
      </w:r>
      <w:r w:rsidR="004A024C" w:rsidRPr="004A024C">
        <w:t>Element</w:t>
      </w:r>
      <w:r w:rsidR="004A024C">
        <w:t xml:space="preserve"> is an important </w:t>
      </w:r>
      <w:r w:rsidR="00251F5C" w:rsidRPr="00251F5C">
        <w:t xml:space="preserve">qualifying criterion </w:t>
      </w:r>
      <w:r w:rsidR="004A024C">
        <w:t>as it means</w:t>
      </w:r>
      <w:r>
        <w:t xml:space="preserve"> that </w:t>
      </w:r>
      <w:r w:rsidR="00251F5C" w:rsidRPr="00251F5C">
        <w:t>people living with a housing cost</w:t>
      </w:r>
      <w:r w:rsidR="00BB2CD9">
        <w:t>,</w:t>
      </w:r>
      <w:r w:rsidR="00251F5C" w:rsidRPr="00251F5C">
        <w:t xml:space="preserve"> i.e. renting but who do not have a Council Tax liability</w:t>
      </w:r>
      <w:r w:rsidR="00BB2CD9">
        <w:t>,</w:t>
      </w:r>
      <w:r w:rsidR="004A024C">
        <w:t xml:space="preserve"> are included</w:t>
      </w:r>
      <w:r w:rsidR="00251F5C" w:rsidRPr="00251F5C">
        <w:t>. This would affect a large number of single people on a low income and families who do not have a Council Tax liability such as those living in temporary accommodation. The Universal Credit Housing Element is slowly replacing Housing Benefit as Universal Credit is rolled out.</w:t>
      </w:r>
    </w:p>
    <w:p w:rsidR="00B235E6" w:rsidRDefault="00B235E6" w:rsidP="005012ED">
      <w:pPr>
        <w:pStyle w:val="ListParagraph"/>
        <w:jc w:val="both"/>
        <w:rPr>
          <w:bCs/>
        </w:rPr>
      </w:pPr>
    </w:p>
    <w:p w:rsidR="00B235E6" w:rsidRPr="00C261DB" w:rsidRDefault="00B235E6" w:rsidP="009234D3">
      <w:pPr>
        <w:pStyle w:val="PlainText"/>
        <w:numPr>
          <w:ilvl w:val="0"/>
          <w:numId w:val="2"/>
        </w:numPr>
        <w:jc w:val="both"/>
        <w:rPr>
          <w:rFonts w:cs="Arial"/>
          <w:b/>
          <w:szCs w:val="24"/>
        </w:rPr>
      </w:pPr>
      <w:r>
        <w:rPr>
          <w:rFonts w:cs="Arial"/>
          <w:bCs/>
          <w:szCs w:val="24"/>
        </w:rPr>
        <w:t xml:space="preserve">Due to </w:t>
      </w:r>
      <w:r w:rsidR="005012ED">
        <w:rPr>
          <w:rFonts w:cs="Arial"/>
          <w:bCs/>
          <w:szCs w:val="24"/>
        </w:rPr>
        <w:t xml:space="preserve">the </w:t>
      </w:r>
      <w:r w:rsidRPr="00C261DB">
        <w:rPr>
          <w:rFonts w:cs="Arial"/>
          <w:bCs/>
          <w:szCs w:val="24"/>
        </w:rPr>
        <w:t xml:space="preserve">similarity of some of the </w:t>
      </w:r>
      <w:r>
        <w:rPr>
          <w:rFonts w:cs="Arial"/>
          <w:bCs/>
          <w:szCs w:val="24"/>
        </w:rPr>
        <w:t xml:space="preserve">concessionary </w:t>
      </w:r>
      <w:r w:rsidRPr="00C261DB">
        <w:rPr>
          <w:rFonts w:cs="Arial"/>
          <w:bCs/>
          <w:szCs w:val="24"/>
        </w:rPr>
        <w:t xml:space="preserve">categories Fusion have grouped </w:t>
      </w:r>
      <w:r>
        <w:rPr>
          <w:rFonts w:cs="Arial"/>
          <w:bCs/>
          <w:szCs w:val="24"/>
        </w:rPr>
        <w:t xml:space="preserve">these </w:t>
      </w:r>
      <w:r w:rsidRPr="00C261DB">
        <w:rPr>
          <w:rFonts w:cs="Arial"/>
          <w:bCs/>
          <w:szCs w:val="24"/>
        </w:rPr>
        <w:t xml:space="preserve">together </w:t>
      </w:r>
      <w:r>
        <w:rPr>
          <w:rFonts w:cs="Arial"/>
          <w:bCs/>
          <w:szCs w:val="24"/>
        </w:rPr>
        <w:t xml:space="preserve">when inputting the data into </w:t>
      </w:r>
      <w:r w:rsidRPr="00C261DB">
        <w:rPr>
          <w:rFonts w:cs="Arial"/>
          <w:bCs/>
          <w:szCs w:val="24"/>
        </w:rPr>
        <w:t xml:space="preserve">their management information </w:t>
      </w:r>
      <w:r>
        <w:rPr>
          <w:rFonts w:cs="Arial"/>
          <w:bCs/>
          <w:szCs w:val="24"/>
        </w:rPr>
        <w:t>system</w:t>
      </w:r>
      <w:r w:rsidR="00AD0BFA">
        <w:rPr>
          <w:rFonts w:cs="Arial"/>
          <w:bCs/>
          <w:szCs w:val="24"/>
        </w:rPr>
        <w:t xml:space="preserve"> (</w:t>
      </w:r>
      <w:r>
        <w:rPr>
          <w:rFonts w:cs="Arial"/>
          <w:bCs/>
          <w:szCs w:val="24"/>
        </w:rPr>
        <w:t xml:space="preserve">highlighted in </w:t>
      </w:r>
      <w:r w:rsidR="00BB2CD9">
        <w:rPr>
          <w:rFonts w:cs="Arial"/>
          <w:bCs/>
          <w:szCs w:val="24"/>
        </w:rPr>
        <w:t>A</w:t>
      </w:r>
      <w:r>
        <w:rPr>
          <w:rFonts w:cs="Arial"/>
          <w:bCs/>
          <w:szCs w:val="24"/>
        </w:rPr>
        <w:t xml:space="preserve">ppendix </w:t>
      </w:r>
      <w:r w:rsidR="00BB2CD9">
        <w:rPr>
          <w:rFonts w:cs="Arial"/>
          <w:bCs/>
          <w:szCs w:val="24"/>
        </w:rPr>
        <w:t>2</w:t>
      </w:r>
      <w:r w:rsidR="00AD0BFA">
        <w:rPr>
          <w:rFonts w:cs="Arial"/>
          <w:bCs/>
          <w:szCs w:val="24"/>
        </w:rPr>
        <w:t>)</w:t>
      </w:r>
      <w:r>
        <w:rPr>
          <w:rFonts w:cs="Arial"/>
          <w:bCs/>
          <w:szCs w:val="24"/>
        </w:rPr>
        <w:t>.</w:t>
      </w:r>
      <w:r w:rsidRPr="00C261DB">
        <w:rPr>
          <w:rFonts w:cs="Arial"/>
          <w:bCs/>
          <w:szCs w:val="24"/>
        </w:rPr>
        <w:t xml:space="preserve"> </w:t>
      </w:r>
    </w:p>
    <w:p w:rsidR="00B235E6" w:rsidRDefault="00B235E6" w:rsidP="005012ED">
      <w:pPr>
        <w:pStyle w:val="ListParagraph"/>
        <w:jc w:val="both"/>
        <w:rPr>
          <w:b/>
        </w:rPr>
      </w:pPr>
    </w:p>
    <w:p w:rsidR="00ED0FFA" w:rsidRDefault="00B235E6" w:rsidP="009234D3">
      <w:pPr>
        <w:pStyle w:val="ListParagraph"/>
        <w:numPr>
          <w:ilvl w:val="0"/>
          <w:numId w:val="2"/>
        </w:numPr>
        <w:jc w:val="both"/>
      </w:pPr>
      <w:r w:rsidRPr="00E43405">
        <w:t>Additional to th</w:t>
      </w:r>
      <w:r>
        <w:t xml:space="preserve">e categories in </w:t>
      </w:r>
      <w:r w:rsidR="00BF4DBD">
        <w:t>A</w:t>
      </w:r>
      <w:r>
        <w:t xml:space="preserve">ppendix </w:t>
      </w:r>
      <w:r w:rsidR="00BF4DBD">
        <w:t>2</w:t>
      </w:r>
      <w:r>
        <w:t xml:space="preserve">, over 60s and </w:t>
      </w:r>
      <w:r w:rsidR="00BF4DBD">
        <w:t>C</w:t>
      </w:r>
      <w:r w:rsidRPr="00E43405">
        <w:t>ouncil employees receive reduce</w:t>
      </w:r>
      <w:r>
        <w:t>d</w:t>
      </w:r>
      <w:r w:rsidRPr="00E43405">
        <w:t xml:space="preserve"> rates</w:t>
      </w:r>
      <w:r w:rsidR="00AD0BFA">
        <w:t xml:space="preserve"> and t</w:t>
      </w:r>
      <w:r>
        <w:t xml:space="preserve">he Council also </w:t>
      </w:r>
      <w:r w:rsidR="00AD0BFA">
        <w:t xml:space="preserve">provides a </w:t>
      </w:r>
      <w:r w:rsidRPr="00E43405">
        <w:t xml:space="preserve">number of </w:t>
      </w:r>
      <w:r>
        <w:t xml:space="preserve">free swimming sessions for </w:t>
      </w:r>
      <w:proofErr w:type="gramStart"/>
      <w:r w:rsidRPr="00E43405">
        <w:t>under</w:t>
      </w:r>
      <w:proofErr w:type="gramEnd"/>
      <w:r>
        <w:t xml:space="preserve"> 17s</w:t>
      </w:r>
      <w:r w:rsidR="00ED0FFA">
        <w:t>.</w:t>
      </w:r>
    </w:p>
    <w:p w:rsidR="00ED0FFA" w:rsidRDefault="00ED0FFA" w:rsidP="00ED0FFA">
      <w:pPr>
        <w:pStyle w:val="ListParagraph"/>
      </w:pPr>
    </w:p>
    <w:p w:rsidR="002C1301" w:rsidRDefault="00B235E6" w:rsidP="009234D3">
      <w:pPr>
        <w:pStyle w:val="ListParagraph"/>
        <w:numPr>
          <w:ilvl w:val="0"/>
          <w:numId w:val="2"/>
        </w:numPr>
        <w:jc w:val="both"/>
      </w:pPr>
      <w:r>
        <w:t>Discussions have been held at the Leisure Partnership Bo</w:t>
      </w:r>
      <w:r w:rsidR="009A2F6F">
        <w:t>ard to increase the age criterion</w:t>
      </w:r>
      <w:r>
        <w:t xml:space="preserve"> </w:t>
      </w:r>
      <w:r w:rsidR="005012ED">
        <w:t>to bring it in line with the retirement age</w:t>
      </w:r>
      <w:r>
        <w:t xml:space="preserve">. </w:t>
      </w:r>
      <w:r w:rsidR="002C1301">
        <w:t>There are an estimate</w:t>
      </w:r>
      <w:r w:rsidR="009A2F6F">
        <w:t>d</w:t>
      </w:r>
      <w:r w:rsidR="002C1301">
        <w:t xml:space="preserve"> </w:t>
      </w:r>
      <w:r w:rsidR="009A2F6F" w:rsidRPr="00ED0FFA">
        <w:rPr>
          <w:bCs/>
        </w:rPr>
        <w:t>17,900</w:t>
      </w:r>
      <w:r w:rsidR="002C1301" w:rsidRPr="00ED0FFA">
        <w:rPr>
          <w:bCs/>
        </w:rPr>
        <w:t xml:space="preserve"> residents in </w:t>
      </w:r>
      <w:r w:rsidR="001276CF" w:rsidRPr="00ED0FFA">
        <w:rPr>
          <w:bCs/>
        </w:rPr>
        <w:t>the 60-67</w:t>
      </w:r>
      <w:r w:rsidR="002C1301" w:rsidRPr="00ED0FFA">
        <w:rPr>
          <w:bCs/>
        </w:rPr>
        <w:t xml:space="preserve"> age </w:t>
      </w:r>
      <w:r w:rsidR="007F1C42" w:rsidRPr="00ED0FFA">
        <w:rPr>
          <w:bCs/>
        </w:rPr>
        <w:t>brackets</w:t>
      </w:r>
      <w:r w:rsidR="002C1301" w:rsidRPr="00ED0FFA">
        <w:rPr>
          <w:bCs/>
        </w:rPr>
        <w:t xml:space="preserve"> in the city</w:t>
      </w:r>
      <w:r w:rsidR="002C1301">
        <w:t>.</w:t>
      </w:r>
      <w:r w:rsidR="00483693">
        <w:t xml:space="preserve"> Fusion</w:t>
      </w:r>
      <w:r w:rsidR="00BF4DBD">
        <w:t>’</w:t>
      </w:r>
      <w:r w:rsidR="00483693">
        <w:t xml:space="preserve">s data shows </w:t>
      </w:r>
      <w:r w:rsidR="005012ED">
        <w:t xml:space="preserve">that only </w:t>
      </w:r>
      <w:r w:rsidR="00483693">
        <w:t xml:space="preserve">61 over 60s had a Bonus </w:t>
      </w:r>
      <w:r w:rsidR="00BF4DBD">
        <w:t>c</w:t>
      </w:r>
      <w:r w:rsidR="00483693">
        <w:t>oncessionary membership in 2018/19</w:t>
      </w:r>
      <w:r w:rsidR="00A55362">
        <w:t xml:space="preserve">, this is because they </w:t>
      </w:r>
      <w:r w:rsidR="004A024C">
        <w:t xml:space="preserve">can also qualify for </w:t>
      </w:r>
      <w:r w:rsidR="00A55362">
        <w:t>a discounted standard membership</w:t>
      </w:r>
      <w:r w:rsidR="00483693">
        <w:t>.</w:t>
      </w:r>
    </w:p>
    <w:p w:rsidR="00B235E6" w:rsidRDefault="00B235E6" w:rsidP="005012ED">
      <w:pPr>
        <w:pStyle w:val="PlainText"/>
        <w:jc w:val="both"/>
        <w:rPr>
          <w:rFonts w:cs="Arial"/>
          <w:szCs w:val="24"/>
        </w:rPr>
      </w:pPr>
    </w:p>
    <w:p w:rsidR="00DA6FE1" w:rsidRDefault="00B235E6" w:rsidP="009234D3">
      <w:pPr>
        <w:pStyle w:val="PlainText"/>
        <w:numPr>
          <w:ilvl w:val="0"/>
          <w:numId w:val="2"/>
        </w:numPr>
        <w:jc w:val="both"/>
        <w:rPr>
          <w:rFonts w:cs="Arial"/>
          <w:szCs w:val="24"/>
        </w:rPr>
      </w:pPr>
      <w:r w:rsidRPr="00E43405">
        <w:rPr>
          <w:rFonts w:cs="Arial"/>
          <w:szCs w:val="24"/>
        </w:rPr>
        <w:t xml:space="preserve">Other local authorities offer </w:t>
      </w:r>
      <w:r>
        <w:rPr>
          <w:rFonts w:cs="Arial"/>
          <w:szCs w:val="24"/>
        </w:rPr>
        <w:t xml:space="preserve">certain </w:t>
      </w:r>
      <w:r w:rsidRPr="00E43405">
        <w:rPr>
          <w:rFonts w:cs="Arial"/>
          <w:szCs w:val="24"/>
        </w:rPr>
        <w:t>profession</w:t>
      </w:r>
      <w:r>
        <w:rPr>
          <w:rFonts w:cs="Arial"/>
          <w:szCs w:val="24"/>
        </w:rPr>
        <w:t>s</w:t>
      </w:r>
      <w:r w:rsidRPr="00E43405">
        <w:rPr>
          <w:rFonts w:cs="Arial"/>
          <w:szCs w:val="24"/>
        </w:rPr>
        <w:t xml:space="preserve"> discounts</w:t>
      </w:r>
      <w:r w:rsidR="000F20B8">
        <w:rPr>
          <w:rFonts w:cs="Arial"/>
          <w:szCs w:val="24"/>
        </w:rPr>
        <w:t xml:space="preserve"> (e.g. NHS, police)</w:t>
      </w:r>
      <w:r w:rsidRPr="00E43405">
        <w:rPr>
          <w:rFonts w:cs="Arial"/>
          <w:szCs w:val="24"/>
        </w:rPr>
        <w:t xml:space="preserve"> </w:t>
      </w:r>
      <w:r w:rsidR="005012ED">
        <w:rPr>
          <w:rFonts w:cs="Arial"/>
          <w:szCs w:val="24"/>
        </w:rPr>
        <w:t xml:space="preserve">to meet their policy objectives. </w:t>
      </w:r>
      <w:r w:rsidR="004A024C">
        <w:rPr>
          <w:rFonts w:cs="Arial"/>
          <w:szCs w:val="24"/>
        </w:rPr>
        <w:t>This year’s budget includes £</w:t>
      </w:r>
      <w:r w:rsidR="00BF4DBD">
        <w:rPr>
          <w:rFonts w:cs="Arial"/>
          <w:szCs w:val="24"/>
        </w:rPr>
        <w:t>5</w:t>
      </w:r>
      <w:r w:rsidR="004A024C">
        <w:rPr>
          <w:rFonts w:cs="Arial"/>
          <w:szCs w:val="24"/>
        </w:rPr>
        <w:t>,000 to provide free use for people who a</w:t>
      </w:r>
      <w:r w:rsidR="00DA6FE1">
        <w:rPr>
          <w:rFonts w:cs="Arial"/>
          <w:szCs w:val="24"/>
        </w:rPr>
        <w:t>re on the homelessness pathway.</w:t>
      </w:r>
    </w:p>
    <w:p w:rsidR="00DA6FE1" w:rsidRDefault="00DA6FE1" w:rsidP="00DA6FE1">
      <w:pPr>
        <w:pStyle w:val="ListParagraph"/>
      </w:pPr>
    </w:p>
    <w:p w:rsidR="00637A9C" w:rsidRDefault="005012ED" w:rsidP="00637A9C">
      <w:pPr>
        <w:pStyle w:val="PlainText"/>
        <w:numPr>
          <w:ilvl w:val="0"/>
          <w:numId w:val="2"/>
        </w:numPr>
        <w:jc w:val="both"/>
        <w:rPr>
          <w:rFonts w:cs="Arial"/>
          <w:szCs w:val="24"/>
        </w:rPr>
      </w:pPr>
      <w:r>
        <w:rPr>
          <w:rFonts w:cs="Arial"/>
          <w:szCs w:val="24"/>
        </w:rPr>
        <w:t xml:space="preserve">The </w:t>
      </w:r>
      <w:r w:rsidR="00C450E6">
        <w:rPr>
          <w:rFonts w:cs="Arial"/>
          <w:szCs w:val="24"/>
        </w:rPr>
        <w:t>Cabinet</w:t>
      </w:r>
      <w:r>
        <w:rPr>
          <w:rFonts w:cs="Arial"/>
          <w:szCs w:val="24"/>
        </w:rPr>
        <w:t xml:space="preserve"> Member has asked that we </w:t>
      </w:r>
      <w:r w:rsidR="00B235E6" w:rsidRPr="00E43405">
        <w:rPr>
          <w:rFonts w:cs="Arial"/>
          <w:szCs w:val="24"/>
        </w:rPr>
        <w:t>include a reduce</w:t>
      </w:r>
      <w:r w:rsidR="00B235E6">
        <w:rPr>
          <w:rFonts w:cs="Arial"/>
          <w:szCs w:val="24"/>
        </w:rPr>
        <w:t>d</w:t>
      </w:r>
      <w:r w:rsidR="00B235E6" w:rsidRPr="00E43405">
        <w:rPr>
          <w:rFonts w:cs="Arial"/>
          <w:szCs w:val="24"/>
        </w:rPr>
        <w:t xml:space="preserve"> rate for ex-service people</w:t>
      </w:r>
      <w:r w:rsidR="001276CF">
        <w:rPr>
          <w:rFonts w:cs="Arial"/>
          <w:szCs w:val="24"/>
        </w:rPr>
        <w:t>;</w:t>
      </w:r>
      <w:r w:rsidR="00B235E6">
        <w:rPr>
          <w:rFonts w:cs="Arial"/>
          <w:szCs w:val="24"/>
        </w:rPr>
        <w:t xml:space="preserve"> </w:t>
      </w:r>
      <w:r w:rsidR="00334AEB">
        <w:rPr>
          <w:rFonts w:cs="Arial"/>
          <w:szCs w:val="24"/>
        </w:rPr>
        <w:t xml:space="preserve">Fusion have indicated </w:t>
      </w:r>
      <w:r w:rsidR="00334AEB" w:rsidRPr="00334AEB">
        <w:rPr>
          <w:rFonts w:cs="Arial"/>
          <w:szCs w:val="24"/>
        </w:rPr>
        <w:t xml:space="preserve">they could look to implement the official MOD discount service for UK armed forces and veterans (current and past armed forces, alongside their spouses / parents of currently serving personnel). The offer </w:t>
      </w:r>
      <w:r w:rsidR="00C450E6">
        <w:rPr>
          <w:rFonts w:cs="Arial"/>
          <w:szCs w:val="24"/>
        </w:rPr>
        <w:t>may</w:t>
      </w:r>
      <w:r w:rsidR="00334AEB" w:rsidRPr="00334AEB">
        <w:rPr>
          <w:rFonts w:cs="Arial"/>
          <w:szCs w:val="24"/>
        </w:rPr>
        <w:t xml:space="preserve"> include a 10% discount for the full Oxford and family leisure membership</w:t>
      </w:r>
      <w:r w:rsidR="00334AEB">
        <w:rPr>
          <w:rFonts w:cs="Arial"/>
          <w:szCs w:val="24"/>
        </w:rPr>
        <w:t>s.</w:t>
      </w:r>
    </w:p>
    <w:p w:rsidR="00637A9C" w:rsidRDefault="00637A9C" w:rsidP="00637A9C">
      <w:pPr>
        <w:pStyle w:val="ListParagraph"/>
      </w:pPr>
    </w:p>
    <w:p w:rsidR="00637A9C" w:rsidRDefault="00A6798C" w:rsidP="00637A9C">
      <w:pPr>
        <w:pStyle w:val="PlainText"/>
        <w:numPr>
          <w:ilvl w:val="0"/>
          <w:numId w:val="2"/>
        </w:numPr>
        <w:jc w:val="both"/>
        <w:rPr>
          <w:rFonts w:cs="Arial"/>
          <w:szCs w:val="24"/>
        </w:rPr>
      </w:pPr>
      <w:r w:rsidRPr="00637A9C">
        <w:rPr>
          <w:rFonts w:cs="Arial"/>
          <w:szCs w:val="24"/>
        </w:rPr>
        <w:t>Officers have explored o</w:t>
      </w:r>
      <w:r w:rsidR="00703039" w:rsidRPr="00637A9C">
        <w:rPr>
          <w:rFonts w:cs="Arial"/>
          <w:szCs w:val="24"/>
        </w:rPr>
        <w:t>ther options to set a</w:t>
      </w:r>
      <w:r w:rsidRPr="00637A9C">
        <w:rPr>
          <w:rFonts w:cs="Arial"/>
          <w:szCs w:val="24"/>
        </w:rPr>
        <w:t>n income</w:t>
      </w:r>
      <w:r w:rsidR="00703039" w:rsidRPr="00637A9C">
        <w:rPr>
          <w:rFonts w:cs="Arial"/>
          <w:szCs w:val="24"/>
        </w:rPr>
        <w:t xml:space="preserve"> </w:t>
      </w:r>
      <w:r w:rsidR="00AD0BFA" w:rsidRPr="00637A9C">
        <w:rPr>
          <w:rFonts w:cs="Arial"/>
          <w:szCs w:val="24"/>
        </w:rPr>
        <w:t>threshold;</w:t>
      </w:r>
      <w:r w:rsidR="004A024C" w:rsidRPr="00637A9C">
        <w:rPr>
          <w:rFonts w:cs="Arial"/>
          <w:szCs w:val="24"/>
        </w:rPr>
        <w:t xml:space="preserve"> this </w:t>
      </w:r>
      <w:r w:rsidR="00AD0BFA" w:rsidRPr="00637A9C">
        <w:rPr>
          <w:rFonts w:cs="Arial"/>
          <w:szCs w:val="24"/>
        </w:rPr>
        <w:t>included</w:t>
      </w:r>
      <w:r w:rsidR="004A024C" w:rsidRPr="00637A9C">
        <w:rPr>
          <w:rFonts w:cs="Arial"/>
          <w:szCs w:val="24"/>
        </w:rPr>
        <w:t xml:space="preserve"> free school m</w:t>
      </w:r>
      <w:r w:rsidR="00703039" w:rsidRPr="00637A9C">
        <w:rPr>
          <w:rFonts w:cs="Arial"/>
          <w:szCs w:val="24"/>
        </w:rPr>
        <w:t>eals</w:t>
      </w:r>
      <w:r w:rsidR="004A024C" w:rsidRPr="00637A9C">
        <w:rPr>
          <w:rFonts w:cs="Arial"/>
          <w:szCs w:val="24"/>
        </w:rPr>
        <w:t xml:space="preserve"> and targeting postcodes. Free school meals </w:t>
      </w:r>
      <w:r w:rsidR="00C47E79" w:rsidRPr="00637A9C">
        <w:rPr>
          <w:rFonts w:cs="Arial"/>
          <w:szCs w:val="24"/>
        </w:rPr>
        <w:t xml:space="preserve">does not provide as comprehensive </w:t>
      </w:r>
      <w:r w:rsidRPr="00637A9C">
        <w:rPr>
          <w:rFonts w:cs="Arial"/>
          <w:szCs w:val="24"/>
        </w:rPr>
        <w:t xml:space="preserve">a </w:t>
      </w:r>
      <w:r w:rsidR="00C47E79" w:rsidRPr="00637A9C">
        <w:rPr>
          <w:rFonts w:cs="Arial"/>
          <w:szCs w:val="24"/>
        </w:rPr>
        <w:t xml:space="preserve">measure as combining the </w:t>
      </w:r>
      <w:r w:rsidR="00DA6FE1" w:rsidRPr="00637A9C">
        <w:rPr>
          <w:rFonts w:cs="Arial"/>
          <w:bCs/>
          <w:szCs w:val="24"/>
        </w:rPr>
        <w:t>Council Tax Reduction Scheme</w:t>
      </w:r>
      <w:r w:rsidR="00AD0BFA" w:rsidRPr="00637A9C">
        <w:rPr>
          <w:rFonts w:cs="Arial"/>
          <w:szCs w:val="24"/>
        </w:rPr>
        <w:t xml:space="preserve"> with the housing element of Universal C</w:t>
      </w:r>
      <w:r w:rsidR="00C47E79" w:rsidRPr="00637A9C">
        <w:rPr>
          <w:rFonts w:cs="Arial"/>
          <w:szCs w:val="24"/>
        </w:rPr>
        <w:t>redit</w:t>
      </w:r>
      <w:r w:rsidRPr="00637A9C">
        <w:rPr>
          <w:rFonts w:cs="Arial"/>
          <w:szCs w:val="24"/>
        </w:rPr>
        <w:t xml:space="preserve"> so is not believe</w:t>
      </w:r>
      <w:r w:rsidR="004A024C" w:rsidRPr="00637A9C">
        <w:rPr>
          <w:rFonts w:cs="Arial"/>
          <w:szCs w:val="24"/>
        </w:rPr>
        <w:t>d</w:t>
      </w:r>
      <w:r w:rsidRPr="00637A9C">
        <w:rPr>
          <w:rFonts w:cs="Arial"/>
          <w:szCs w:val="24"/>
        </w:rPr>
        <w:t xml:space="preserve"> to be </w:t>
      </w:r>
      <w:r w:rsidR="004A024C" w:rsidRPr="00637A9C">
        <w:rPr>
          <w:rFonts w:cs="Arial"/>
          <w:szCs w:val="24"/>
        </w:rPr>
        <w:t xml:space="preserve">a </w:t>
      </w:r>
      <w:r w:rsidRPr="00637A9C">
        <w:rPr>
          <w:rFonts w:cs="Arial"/>
          <w:szCs w:val="24"/>
        </w:rPr>
        <w:t>suitable</w:t>
      </w:r>
      <w:r w:rsidR="004A024C" w:rsidRPr="00637A9C">
        <w:rPr>
          <w:rFonts w:cs="Arial"/>
          <w:szCs w:val="24"/>
        </w:rPr>
        <w:t xml:space="preserve"> criteria</w:t>
      </w:r>
      <w:r w:rsidR="00ED0FFA" w:rsidRPr="00637A9C">
        <w:rPr>
          <w:rFonts w:cs="Arial"/>
          <w:szCs w:val="24"/>
        </w:rPr>
        <w:t>.</w:t>
      </w:r>
    </w:p>
    <w:p w:rsidR="00637A9C" w:rsidRDefault="00637A9C" w:rsidP="00637A9C">
      <w:pPr>
        <w:pStyle w:val="ListParagraph"/>
      </w:pPr>
    </w:p>
    <w:p w:rsidR="00637A9C" w:rsidRPr="00637A9C" w:rsidRDefault="00A6798C" w:rsidP="00637A9C">
      <w:pPr>
        <w:pStyle w:val="PlainText"/>
        <w:numPr>
          <w:ilvl w:val="0"/>
          <w:numId w:val="2"/>
        </w:numPr>
        <w:jc w:val="both"/>
        <w:rPr>
          <w:rFonts w:cs="Arial"/>
          <w:szCs w:val="24"/>
        </w:rPr>
      </w:pPr>
      <w:r>
        <w:lastRenderedPageBreak/>
        <w:t>P</w:t>
      </w:r>
      <w:r w:rsidR="00C47E79" w:rsidRPr="002C1301">
        <w:t xml:space="preserve">ostcodes </w:t>
      </w:r>
      <w:r>
        <w:t xml:space="preserve">were also explored </w:t>
      </w:r>
      <w:r w:rsidR="00C47E79" w:rsidRPr="002C1301">
        <w:t xml:space="preserve">to see the impact of geographic targeting. </w:t>
      </w:r>
      <w:r w:rsidR="002C1301" w:rsidRPr="002C1301">
        <w:t xml:space="preserve">11.2% of </w:t>
      </w:r>
      <w:r w:rsidR="00F92097">
        <w:t>Oxford</w:t>
      </w:r>
      <w:r w:rsidR="002C1301" w:rsidRPr="002C1301">
        <w:t xml:space="preserve"> </w:t>
      </w:r>
      <w:r w:rsidR="00F92097">
        <w:t>C</w:t>
      </w:r>
      <w:r w:rsidR="002C1301" w:rsidRPr="002C1301">
        <w:t xml:space="preserve">ity is located within the 20% most deprived areas nationally (2015 Index of Multiple Deprivation). This equals 17,144 people, or </w:t>
      </w:r>
      <w:r w:rsidR="002C1301">
        <w:t>c</w:t>
      </w:r>
      <w:r w:rsidR="002C1301" w:rsidRPr="00637A9C">
        <w:rPr>
          <w:bCs/>
        </w:rPr>
        <w:t>6</w:t>
      </w:r>
      <w:proofErr w:type="gramStart"/>
      <w:r w:rsidR="002C1301" w:rsidRPr="00637A9C">
        <w:rPr>
          <w:bCs/>
        </w:rPr>
        <w:t>,000</w:t>
      </w:r>
      <w:proofErr w:type="gramEnd"/>
      <w:r w:rsidR="002C1301" w:rsidRPr="00637A9C">
        <w:rPr>
          <w:bCs/>
        </w:rPr>
        <w:t xml:space="preserve"> households.</w:t>
      </w:r>
      <w:r w:rsidR="00D86098" w:rsidRPr="00D86098">
        <w:t xml:space="preserve"> </w:t>
      </w:r>
      <w:r w:rsidR="00D86098" w:rsidRPr="002C1301">
        <w:t>While this is straightforward</w:t>
      </w:r>
      <w:r w:rsidR="002A6476">
        <w:t>,</w:t>
      </w:r>
      <w:r w:rsidR="00D86098" w:rsidRPr="002C1301">
        <w:t xml:space="preserve"> postcodes do not necessar</w:t>
      </w:r>
      <w:r w:rsidR="00C450E6">
        <w:t>ily</w:t>
      </w:r>
      <w:r w:rsidR="00D86098" w:rsidRPr="002C1301">
        <w:t xml:space="preserve"> correlate to individual income.</w:t>
      </w:r>
    </w:p>
    <w:p w:rsidR="00637A9C" w:rsidRDefault="00637A9C" w:rsidP="00637A9C">
      <w:pPr>
        <w:pStyle w:val="ListParagraph"/>
      </w:pPr>
    </w:p>
    <w:p w:rsidR="00637A9C" w:rsidRPr="00637A9C" w:rsidRDefault="002C1301" w:rsidP="00637A9C">
      <w:pPr>
        <w:pStyle w:val="PlainText"/>
        <w:numPr>
          <w:ilvl w:val="0"/>
          <w:numId w:val="2"/>
        </w:numPr>
        <w:jc w:val="both"/>
        <w:rPr>
          <w:rFonts w:cs="Arial"/>
          <w:szCs w:val="24"/>
        </w:rPr>
      </w:pPr>
      <w:r w:rsidRPr="002C1301">
        <w:t>Both Working and Child Tax Credit are being replaced by Universal Credit so the</w:t>
      </w:r>
      <w:r w:rsidR="00D86098">
        <w:t xml:space="preserve">re are not </w:t>
      </w:r>
      <w:r w:rsidRPr="002C1301">
        <w:t>any ‘new’ recipients of these</w:t>
      </w:r>
      <w:r w:rsidR="00FC2328">
        <w:t>,</w:t>
      </w:r>
      <w:r w:rsidRPr="002C1301">
        <w:t xml:space="preserve"> only people who have been receiving it </w:t>
      </w:r>
      <w:r w:rsidR="004A024C">
        <w:t>already</w:t>
      </w:r>
      <w:r w:rsidRPr="002C1301">
        <w:t>. </w:t>
      </w:r>
      <w:r w:rsidR="00A6798C">
        <w:t>P</w:t>
      </w:r>
      <w:r w:rsidRPr="002C1301">
        <w:t xml:space="preserve">eople on a low income who receive one of these tax credits </w:t>
      </w:r>
      <w:r w:rsidR="00A6798C">
        <w:t xml:space="preserve">are likely to be </w:t>
      </w:r>
      <w:r w:rsidRPr="002C1301">
        <w:t xml:space="preserve">in receipt of another qualifying benefit. </w:t>
      </w:r>
      <w:r w:rsidR="00A6798C">
        <w:t>T</w:t>
      </w:r>
      <w:r w:rsidRPr="002C1301">
        <w:t>ax credits are also a lot more generous than normal welfare benefits so customers qualifying for concession</w:t>
      </w:r>
      <w:r w:rsidR="00A6798C">
        <w:t>s</w:t>
      </w:r>
      <w:r w:rsidRPr="002C1301">
        <w:t xml:space="preserve"> under </w:t>
      </w:r>
      <w:r w:rsidR="007F1C42" w:rsidRPr="002C1301">
        <w:t>these criteria</w:t>
      </w:r>
      <w:r w:rsidRPr="002C1301">
        <w:t xml:space="preserve"> </w:t>
      </w:r>
      <w:r w:rsidR="00A6798C">
        <w:t xml:space="preserve">can result in </w:t>
      </w:r>
      <w:r w:rsidR="0096004F">
        <w:t>people on higher incomes qualifying for concessions.</w:t>
      </w:r>
    </w:p>
    <w:p w:rsidR="00637A9C" w:rsidRDefault="00637A9C" w:rsidP="00637A9C">
      <w:pPr>
        <w:pStyle w:val="ListParagraph"/>
        <w:rPr>
          <w:iCs/>
        </w:rPr>
      </w:pPr>
    </w:p>
    <w:p w:rsidR="00EC0663" w:rsidRPr="00637A9C" w:rsidRDefault="00BF1972" w:rsidP="00637A9C">
      <w:pPr>
        <w:pStyle w:val="PlainText"/>
        <w:numPr>
          <w:ilvl w:val="0"/>
          <w:numId w:val="2"/>
        </w:numPr>
        <w:jc w:val="both"/>
        <w:rPr>
          <w:rFonts w:cs="Arial"/>
          <w:szCs w:val="24"/>
        </w:rPr>
      </w:pPr>
      <w:r w:rsidRPr="00637A9C">
        <w:rPr>
          <w:iCs/>
        </w:rPr>
        <w:t>It is relatively easy for a customer to evidence that they are in receipt of the Housing Element on Universal Credit, but procedures will need to recognise that the benefit doesn’t provide letters confirming entitlement. U</w:t>
      </w:r>
      <w:r w:rsidR="00ED0FFA" w:rsidRPr="00637A9C">
        <w:rPr>
          <w:iCs/>
        </w:rPr>
        <w:t xml:space="preserve">niversal </w:t>
      </w:r>
      <w:r w:rsidRPr="00637A9C">
        <w:rPr>
          <w:iCs/>
        </w:rPr>
        <w:t>C</w:t>
      </w:r>
      <w:r w:rsidR="00ED0FFA" w:rsidRPr="00637A9C">
        <w:rPr>
          <w:iCs/>
        </w:rPr>
        <w:t>redit</w:t>
      </w:r>
      <w:r w:rsidRPr="00637A9C">
        <w:rPr>
          <w:iCs/>
        </w:rPr>
        <w:t xml:space="preserve"> doesn’t issue letters regarding entitlement, and customers access this information on the journal via their statements. Customers are able to</w:t>
      </w:r>
      <w:r w:rsidR="00FC2328" w:rsidRPr="00637A9C">
        <w:rPr>
          <w:iCs/>
        </w:rPr>
        <w:t xml:space="preserve"> provide screenshots or</w:t>
      </w:r>
      <w:r w:rsidRPr="00637A9C">
        <w:rPr>
          <w:iCs/>
        </w:rPr>
        <w:t xml:space="preserve"> print their statements as evidence. </w:t>
      </w:r>
    </w:p>
    <w:p w:rsidR="00EC0663" w:rsidRPr="00BF1972" w:rsidRDefault="00EC0663" w:rsidP="00BF1972">
      <w:pPr>
        <w:pStyle w:val="ListParagraph"/>
        <w:jc w:val="both"/>
        <w:rPr>
          <w:iCs/>
          <w:color w:val="0070C0"/>
        </w:rPr>
      </w:pPr>
    </w:p>
    <w:p w:rsidR="00EC0663" w:rsidRPr="00ED0FFA" w:rsidRDefault="00EC0663" w:rsidP="00637A9C">
      <w:pPr>
        <w:pStyle w:val="ListParagraph"/>
        <w:numPr>
          <w:ilvl w:val="0"/>
          <w:numId w:val="2"/>
        </w:numPr>
        <w:jc w:val="both"/>
      </w:pPr>
      <w:r w:rsidRPr="00637A9C">
        <w:rPr>
          <w:iCs/>
        </w:rPr>
        <w:t>A small number of customers will not have access to their journal in circumstances where it is impossible for them to use an online account, for example due to certain disabilities, being in hospital etc. These customers will be able to access their statements through the local Job Centre or any other arrangement they have agreed locally with the DWP.</w:t>
      </w:r>
    </w:p>
    <w:p w:rsidR="00EC0663" w:rsidRPr="00BF1972" w:rsidRDefault="00EC0663" w:rsidP="00BF1972">
      <w:pPr>
        <w:pStyle w:val="ListParagraph"/>
        <w:jc w:val="both"/>
        <w:rPr>
          <w:color w:val="0070C0"/>
        </w:rPr>
      </w:pPr>
    </w:p>
    <w:p w:rsidR="00BF1972" w:rsidRPr="00A31BCF" w:rsidRDefault="00BF1972" w:rsidP="00637A9C">
      <w:pPr>
        <w:numPr>
          <w:ilvl w:val="0"/>
          <w:numId w:val="2"/>
        </w:numPr>
        <w:jc w:val="both"/>
      </w:pPr>
      <w:r w:rsidRPr="00A31BCF">
        <w:rPr>
          <w:iCs/>
        </w:rPr>
        <w:t xml:space="preserve">It should be noted </w:t>
      </w:r>
      <w:r w:rsidR="00ED0FFA" w:rsidRPr="00A31BCF">
        <w:rPr>
          <w:iCs/>
        </w:rPr>
        <w:t>Universal Credit</w:t>
      </w:r>
      <w:r w:rsidRPr="00A31BCF">
        <w:rPr>
          <w:iCs/>
        </w:rPr>
        <w:t xml:space="preserve"> is always paid in arrears and offers no fo</w:t>
      </w:r>
      <w:r w:rsidR="00DD67D2" w:rsidRPr="00A31BCF">
        <w:rPr>
          <w:iCs/>
        </w:rPr>
        <w:t>rward projection on entitlement.</w:t>
      </w:r>
      <w:r w:rsidRPr="00A31BCF">
        <w:rPr>
          <w:iCs/>
        </w:rPr>
        <w:t xml:space="preserve"> </w:t>
      </w:r>
      <w:r w:rsidR="00DD67D2" w:rsidRPr="00A31BCF">
        <w:rPr>
          <w:iCs/>
        </w:rPr>
        <w:t>T</w:t>
      </w:r>
      <w:r w:rsidRPr="00A31BCF">
        <w:rPr>
          <w:iCs/>
        </w:rPr>
        <w:t>herefore any verification will have to be for the recent past, this would normally be their last monthly statement, but does not guarantee the customer is currently entitled due to a change of circumstances.</w:t>
      </w:r>
    </w:p>
    <w:p w:rsidR="00BF1972" w:rsidRPr="00BF1972" w:rsidRDefault="00BF1972" w:rsidP="00BF1972">
      <w:pPr>
        <w:jc w:val="both"/>
        <w:rPr>
          <w:color w:val="0070C0"/>
        </w:rPr>
      </w:pPr>
    </w:p>
    <w:p w:rsidR="00A31BCF" w:rsidRDefault="00703039" w:rsidP="00637A9C">
      <w:pPr>
        <w:pStyle w:val="PlainText"/>
        <w:numPr>
          <w:ilvl w:val="0"/>
          <w:numId w:val="2"/>
        </w:numPr>
        <w:jc w:val="both"/>
        <w:rPr>
          <w:rFonts w:cs="Arial"/>
          <w:szCs w:val="24"/>
        </w:rPr>
      </w:pPr>
      <w:r w:rsidRPr="00B235E6">
        <w:rPr>
          <w:rFonts w:cs="Arial"/>
          <w:szCs w:val="24"/>
        </w:rPr>
        <w:t xml:space="preserve">The Head of Community Services is working with Sport England to help to improve the advice in their leisure contract procurement tool kit. </w:t>
      </w:r>
      <w:r>
        <w:rPr>
          <w:rFonts w:cs="Arial"/>
          <w:szCs w:val="24"/>
        </w:rPr>
        <w:t xml:space="preserve">Sport England are keen to develop advice that helps local authorities </w:t>
      </w:r>
      <w:r w:rsidR="00A6798C">
        <w:rPr>
          <w:rFonts w:cs="Arial"/>
          <w:szCs w:val="24"/>
        </w:rPr>
        <w:t xml:space="preserve">develop </w:t>
      </w:r>
      <w:r>
        <w:rPr>
          <w:rFonts w:cs="Arial"/>
          <w:szCs w:val="24"/>
        </w:rPr>
        <w:t xml:space="preserve">concessionary schemes that are more effective at achieving strategic outcomes and </w:t>
      </w:r>
      <w:r w:rsidR="004A024C">
        <w:rPr>
          <w:rFonts w:cs="Arial"/>
          <w:szCs w:val="24"/>
        </w:rPr>
        <w:t xml:space="preserve">are more </w:t>
      </w:r>
      <w:r>
        <w:rPr>
          <w:rFonts w:cs="Arial"/>
          <w:szCs w:val="24"/>
        </w:rPr>
        <w:t xml:space="preserve">adaptable to changing local needs. </w:t>
      </w:r>
    </w:p>
    <w:p w:rsidR="00A31BCF" w:rsidRDefault="00A31BCF" w:rsidP="00A31BCF">
      <w:pPr>
        <w:pStyle w:val="ListParagraph"/>
      </w:pPr>
    </w:p>
    <w:p w:rsidR="00703039" w:rsidRDefault="004A024C" w:rsidP="00637A9C">
      <w:pPr>
        <w:pStyle w:val="PlainText"/>
        <w:numPr>
          <w:ilvl w:val="0"/>
          <w:numId w:val="2"/>
        </w:numPr>
        <w:jc w:val="both"/>
        <w:rPr>
          <w:rFonts w:cs="Arial"/>
          <w:szCs w:val="24"/>
        </w:rPr>
      </w:pPr>
      <w:r w:rsidRPr="00B235E6">
        <w:rPr>
          <w:rFonts w:cs="Arial"/>
          <w:szCs w:val="24"/>
        </w:rPr>
        <w:t xml:space="preserve">Sport England </w:t>
      </w:r>
      <w:r>
        <w:rPr>
          <w:rFonts w:cs="Arial"/>
          <w:szCs w:val="24"/>
        </w:rPr>
        <w:t>have not found any schemes</w:t>
      </w:r>
      <w:r w:rsidR="00AD0BFA">
        <w:rPr>
          <w:rFonts w:cs="Arial"/>
          <w:szCs w:val="24"/>
        </w:rPr>
        <w:t xml:space="preserve">, </w:t>
      </w:r>
      <w:r w:rsidR="00703039">
        <w:rPr>
          <w:rFonts w:cs="Arial"/>
          <w:szCs w:val="24"/>
        </w:rPr>
        <w:t>or thinking</w:t>
      </w:r>
      <w:r w:rsidR="00BA63CA">
        <w:rPr>
          <w:rFonts w:cs="Arial"/>
          <w:szCs w:val="24"/>
        </w:rPr>
        <w:t>,</w:t>
      </w:r>
      <w:r w:rsidR="00703039">
        <w:rPr>
          <w:rFonts w:cs="Arial"/>
          <w:szCs w:val="24"/>
        </w:rPr>
        <w:t xml:space="preserve"> that </w:t>
      </w:r>
      <w:r w:rsidR="00BA63CA">
        <w:rPr>
          <w:rFonts w:cs="Arial"/>
          <w:szCs w:val="24"/>
        </w:rPr>
        <w:t xml:space="preserve">are </w:t>
      </w:r>
      <w:r>
        <w:rPr>
          <w:rFonts w:cs="Arial"/>
          <w:szCs w:val="24"/>
        </w:rPr>
        <w:t>more advanced than what has been covered in this review</w:t>
      </w:r>
      <w:r w:rsidR="00703039">
        <w:rPr>
          <w:rFonts w:cs="Arial"/>
          <w:szCs w:val="24"/>
        </w:rPr>
        <w:t>. As such</w:t>
      </w:r>
      <w:r w:rsidR="00AD0BFA">
        <w:rPr>
          <w:rFonts w:cs="Arial"/>
          <w:szCs w:val="24"/>
        </w:rPr>
        <w:t>,</w:t>
      </w:r>
      <w:r w:rsidR="00703039">
        <w:rPr>
          <w:rFonts w:cs="Arial"/>
          <w:szCs w:val="24"/>
        </w:rPr>
        <w:t xml:space="preserve"> Sport England </w:t>
      </w:r>
      <w:r>
        <w:rPr>
          <w:rFonts w:cs="Arial"/>
          <w:szCs w:val="24"/>
        </w:rPr>
        <w:t xml:space="preserve">will be </w:t>
      </w:r>
      <w:r w:rsidR="00A6798C">
        <w:rPr>
          <w:rFonts w:cs="Arial"/>
          <w:szCs w:val="24"/>
        </w:rPr>
        <w:t xml:space="preserve">working with </w:t>
      </w:r>
      <w:r>
        <w:rPr>
          <w:rFonts w:cs="Arial"/>
          <w:szCs w:val="24"/>
        </w:rPr>
        <w:t xml:space="preserve">the </w:t>
      </w:r>
      <w:r w:rsidR="00A6798C">
        <w:rPr>
          <w:rFonts w:cs="Arial"/>
          <w:szCs w:val="24"/>
        </w:rPr>
        <w:t xml:space="preserve">National Association for Culture and Leisure (CLOA) to survey local authorities on how </w:t>
      </w:r>
      <w:r w:rsidR="00703039">
        <w:rPr>
          <w:rFonts w:cs="Arial"/>
          <w:szCs w:val="24"/>
        </w:rPr>
        <w:t>concession</w:t>
      </w:r>
      <w:r w:rsidR="00A6798C">
        <w:rPr>
          <w:rFonts w:cs="Arial"/>
          <w:szCs w:val="24"/>
        </w:rPr>
        <w:t>s</w:t>
      </w:r>
      <w:r w:rsidR="00703039">
        <w:rPr>
          <w:rFonts w:cs="Arial"/>
          <w:szCs w:val="24"/>
        </w:rPr>
        <w:t xml:space="preserve"> can be used more effectively. </w:t>
      </w:r>
    </w:p>
    <w:p w:rsidR="00C47E79" w:rsidRDefault="00C47E79" w:rsidP="005012ED">
      <w:pPr>
        <w:pStyle w:val="ListParagraph"/>
        <w:jc w:val="both"/>
      </w:pPr>
    </w:p>
    <w:p w:rsidR="00C47E79" w:rsidRDefault="00C47E79" w:rsidP="00637A9C">
      <w:pPr>
        <w:pStyle w:val="PlainText"/>
        <w:numPr>
          <w:ilvl w:val="0"/>
          <w:numId w:val="2"/>
        </w:numPr>
        <w:jc w:val="both"/>
        <w:rPr>
          <w:rFonts w:cs="Arial"/>
          <w:szCs w:val="24"/>
        </w:rPr>
      </w:pPr>
      <w:r>
        <w:rPr>
          <w:rFonts w:cs="Arial"/>
          <w:szCs w:val="24"/>
        </w:rPr>
        <w:t xml:space="preserve">Concessions are in place to ensure equitable access to try to remove lack of income as a barrier to exercise. </w:t>
      </w:r>
      <w:r w:rsidR="00AD0BFA">
        <w:rPr>
          <w:rFonts w:cs="Arial"/>
          <w:szCs w:val="24"/>
        </w:rPr>
        <w:t>T</w:t>
      </w:r>
      <w:r>
        <w:rPr>
          <w:rFonts w:cs="Arial"/>
          <w:szCs w:val="24"/>
        </w:rPr>
        <w:t xml:space="preserve">here are </w:t>
      </w:r>
      <w:r w:rsidR="00AD0BFA">
        <w:rPr>
          <w:rFonts w:cs="Arial"/>
          <w:szCs w:val="24"/>
        </w:rPr>
        <w:t xml:space="preserve">though </w:t>
      </w:r>
      <w:r>
        <w:rPr>
          <w:rFonts w:cs="Arial"/>
          <w:szCs w:val="24"/>
        </w:rPr>
        <w:t>a range of reasons why people do</w:t>
      </w:r>
      <w:r w:rsidR="0096004F">
        <w:rPr>
          <w:rFonts w:cs="Arial"/>
          <w:szCs w:val="24"/>
        </w:rPr>
        <w:t xml:space="preserve"> no</w:t>
      </w:r>
      <w:r>
        <w:rPr>
          <w:rFonts w:cs="Arial"/>
          <w:szCs w:val="24"/>
        </w:rPr>
        <w:t xml:space="preserve">t exercise such as lifestyles, motivation and cultural differences. As part of the work on </w:t>
      </w:r>
      <w:r w:rsidR="00A6798C">
        <w:rPr>
          <w:rFonts w:cs="Arial"/>
          <w:szCs w:val="24"/>
        </w:rPr>
        <w:t>developing a new culture and leisure strategy</w:t>
      </w:r>
      <w:r w:rsidR="00BA63CA">
        <w:rPr>
          <w:rFonts w:cs="Arial"/>
          <w:szCs w:val="24"/>
        </w:rPr>
        <w:t>,</w:t>
      </w:r>
      <w:r w:rsidR="00FB7AF8">
        <w:rPr>
          <w:rFonts w:cs="Arial"/>
          <w:szCs w:val="24"/>
        </w:rPr>
        <w:t xml:space="preserve"> O</w:t>
      </w:r>
      <w:r w:rsidR="00A6798C">
        <w:rPr>
          <w:rFonts w:cs="Arial"/>
          <w:szCs w:val="24"/>
        </w:rPr>
        <w:t xml:space="preserve">fficers </w:t>
      </w:r>
      <w:r>
        <w:rPr>
          <w:rFonts w:cs="Arial"/>
          <w:szCs w:val="24"/>
        </w:rPr>
        <w:t>are researching local barriers which may then enable a better range of activities to be offered. This strategy may then enable a more sophisticated approach to be taken to reduce inactivity.</w:t>
      </w:r>
    </w:p>
    <w:p w:rsidR="00637A9C" w:rsidRDefault="00637A9C" w:rsidP="009C42B0">
      <w:pPr>
        <w:pStyle w:val="PlainText"/>
        <w:jc w:val="both"/>
        <w:rPr>
          <w:rFonts w:cs="Arial"/>
          <w:szCs w:val="24"/>
        </w:rPr>
      </w:pPr>
    </w:p>
    <w:p w:rsidR="005A23F8" w:rsidRDefault="005A23F8" w:rsidP="009C42B0">
      <w:pPr>
        <w:pStyle w:val="PlainText"/>
        <w:jc w:val="both"/>
        <w:rPr>
          <w:rFonts w:cs="Arial"/>
          <w:szCs w:val="24"/>
        </w:rPr>
      </w:pPr>
    </w:p>
    <w:p w:rsidR="005A23F8" w:rsidRDefault="005A23F8" w:rsidP="009C42B0">
      <w:pPr>
        <w:pStyle w:val="PlainText"/>
        <w:jc w:val="both"/>
        <w:rPr>
          <w:rFonts w:cs="Arial"/>
          <w:szCs w:val="24"/>
        </w:rPr>
      </w:pPr>
    </w:p>
    <w:p w:rsidR="00637A9C" w:rsidRDefault="00637A9C" w:rsidP="009C42B0">
      <w:pPr>
        <w:pStyle w:val="PlainText"/>
        <w:jc w:val="both"/>
        <w:rPr>
          <w:rFonts w:cs="Arial"/>
          <w:szCs w:val="24"/>
        </w:rPr>
      </w:pPr>
    </w:p>
    <w:p w:rsidR="00637A9C" w:rsidRDefault="00637A9C" w:rsidP="009C42B0">
      <w:pPr>
        <w:pStyle w:val="PlainText"/>
        <w:jc w:val="both"/>
        <w:rPr>
          <w:rFonts w:cs="Arial"/>
          <w:szCs w:val="24"/>
        </w:rPr>
      </w:pPr>
    </w:p>
    <w:p w:rsidR="009C42B0" w:rsidRDefault="009C42B0" w:rsidP="009C42B0">
      <w:pPr>
        <w:pStyle w:val="PlainText"/>
        <w:jc w:val="both"/>
        <w:rPr>
          <w:rFonts w:cs="Arial"/>
          <w:b/>
          <w:szCs w:val="24"/>
        </w:rPr>
      </w:pPr>
      <w:r w:rsidRPr="009C42B0">
        <w:rPr>
          <w:rFonts w:cs="Arial"/>
          <w:b/>
          <w:szCs w:val="24"/>
        </w:rPr>
        <w:lastRenderedPageBreak/>
        <w:t xml:space="preserve">Legal implications </w:t>
      </w:r>
    </w:p>
    <w:p w:rsidR="009C42B0" w:rsidRDefault="009C42B0" w:rsidP="009C42B0">
      <w:pPr>
        <w:pStyle w:val="PlainText"/>
        <w:jc w:val="both"/>
        <w:rPr>
          <w:rFonts w:cs="Arial"/>
          <w:b/>
          <w:szCs w:val="24"/>
        </w:rPr>
      </w:pPr>
    </w:p>
    <w:p w:rsidR="00A55362" w:rsidRDefault="00BD6B59" w:rsidP="00637A9C">
      <w:pPr>
        <w:pStyle w:val="PlainText"/>
        <w:numPr>
          <w:ilvl w:val="0"/>
          <w:numId w:val="2"/>
        </w:numPr>
        <w:jc w:val="both"/>
        <w:rPr>
          <w:rFonts w:cs="Arial"/>
          <w:szCs w:val="24"/>
        </w:rPr>
      </w:pPr>
      <w:r>
        <w:rPr>
          <w:rFonts w:cs="Arial"/>
          <w:szCs w:val="24"/>
        </w:rPr>
        <w:t>The contract with Fusion</w:t>
      </w:r>
      <w:r w:rsidR="00FB7AF8">
        <w:rPr>
          <w:rFonts w:cs="Arial"/>
          <w:szCs w:val="24"/>
        </w:rPr>
        <w:t xml:space="preserve"> </w:t>
      </w:r>
      <w:r>
        <w:rPr>
          <w:rFonts w:cs="Arial"/>
          <w:szCs w:val="24"/>
        </w:rPr>
        <w:t>means that any changes need to be agreed with Fusion before they can be implemented.</w:t>
      </w:r>
    </w:p>
    <w:p w:rsidR="00BD6B59" w:rsidRDefault="00BD6B59" w:rsidP="00BD6B59">
      <w:pPr>
        <w:pStyle w:val="PlainText"/>
        <w:ind w:left="720"/>
        <w:jc w:val="both"/>
        <w:rPr>
          <w:rFonts w:cs="Arial"/>
          <w:szCs w:val="24"/>
        </w:rPr>
      </w:pPr>
    </w:p>
    <w:p w:rsidR="00BD6B59" w:rsidRDefault="00BD6B59" w:rsidP="00637A9C">
      <w:pPr>
        <w:pStyle w:val="PlainText"/>
        <w:numPr>
          <w:ilvl w:val="0"/>
          <w:numId w:val="2"/>
        </w:numPr>
        <w:jc w:val="both"/>
        <w:rPr>
          <w:rFonts w:cs="Arial"/>
          <w:szCs w:val="24"/>
        </w:rPr>
      </w:pPr>
      <w:r>
        <w:rPr>
          <w:rFonts w:cs="Arial"/>
          <w:szCs w:val="24"/>
        </w:rPr>
        <w:t>Th</w:t>
      </w:r>
      <w:r w:rsidR="00AD0BFA">
        <w:rPr>
          <w:rFonts w:cs="Arial"/>
          <w:szCs w:val="24"/>
        </w:rPr>
        <w:t xml:space="preserve">is </w:t>
      </w:r>
      <w:r>
        <w:rPr>
          <w:rFonts w:cs="Arial"/>
          <w:szCs w:val="24"/>
        </w:rPr>
        <w:t xml:space="preserve">contract expires in 2024. This means that the Council could ask for costed options which would enable the cost of concessions to be understood.  </w:t>
      </w:r>
    </w:p>
    <w:p w:rsidR="00BD6B59" w:rsidRPr="00BD6B59" w:rsidRDefault="00BD6B59" w:rsidP="009C42B0">
      <w:pPr>
        <w:pStyle w:val="PlainText"/>
        <w:jc w:val="both"/>
        <w:rPr>
          <w:rFonts w:cs="Arial"/>
          <w:szCs w:val="24"/>
        </w:rPr>
      </w:pPr>
    </w:p>
    <w:p w:rsidR="009C42B0" w:rsidRDefault="009C42B0" w:rsidP="009C42B0">
      <w:pPr>
        <w:pStyle w:val="PlainText"/>
        <w:jc w:val="both"/>
        <w:rPr>
          <w:rFonts w:cs="Arial"/>
          <w:b/>
          <w:szCs w:val="24"/>
        </w:rPr>
      </w:pPr>
      <w:r w:rsidRPr="009C42B0">
        <w:rPr>
          <w:rFonts w:cs="Arial"/>
          <w:b/>
          <w:szCs w:val="24"/>
        </w:rPr>
        <w:t>Financial implications</w:t>
      </w:r>
    </w:p>
    <w:p w:rsidR="00972B46" w:rsidRPr="00A55362" w:rsidRDefault="00972B46" w:rsidP="009C42B0">
      <w:pPr>
        <w:pStyle w:val="PlainText"/>
        <w:jc w:val="both"/>
        <w:rPr>
          <w:rFonts w:cs="Arial"/>
          <w:szCs w:val="24"/>
        </w:rPr>
      </w:pPr>
    </w:p>
    <w:p w:rsidR="009234D3" w:rsidRDefault="009234D3" w:rsidP="00637A9C">
      <w:pPr>
        <w:pStyle w:val="PlainText"/>
        <w:numPr>
          <w:ilvl w:val="0"/>
          <w:numId w:val="2"/>
        </w:numPr>
        <w:jc w:val="both"/>
        <w:rPr>
          <w:rFonts w:cs="Arial"/>
          <w:szCs w:val="24"/>
        </w:rPr>
      </w:pPr>
      <w:r>
        <w:rPr>
          <w:rFonts w:cs="Arial"/>
          <w:szCs w:val="24"/>
        </w:rPr>
        <w:t xml:space="preserve">Fusion </w:t>
      </w:r>
      <w:r w:rsidRPr="00A55362">
        <w:rPr>
          <w:rFonts w:cs="Arial"/>
          <w:szCs w:val="24"/>
        </w:rPr>
        <w:t>does</w:t>
      </w:r>
      <w:r w:rsidR="00A55362" w:rsidRPr="00A55362">
        <w:rPr>
          <w:rFonts w:cs="Arial"/>
          <w:szCs w:val="24"/>
        </w:rPr>
        <w:t xml:space="preserve"> not believe there will be any financial implications from the changes</w:t>
      </w:r>
      <w:r w:rsidR="00BD6B59">
        <w:rPr>
          <w:rFonts w:cs="Arial"/>
          <w:szCs w:val="24"/>
        </w:rPr>
        <w:t>, although they w</w:t>
      </w:r>
      <w:r w:rsidR="00AD0BFA">
        <w:rPr>
          <w:rFonts w:cs="Arial"/>
          <w:szCs w:val="24"/>
        </w:rPr>
        <w:t xml:space="preserve">ill </w:t>
      </w:r>
      <w:r w:rsidR="005A462C">
        <w:rPr>
          <w:rFonts w:cs="Arial"/>
          <w:szCs w:val="24"/>
        </w:rPr>
        <w:t xml:space="preserve">want </w:t>
      </w:r>
      <w:r w:rsidR="00BD6B59">
        <w:rPr>
          <w:rFonts w:cs="Arial"/>
          <w:szCs w:val="24"/>
        </w:rPr>
        <w:t>to monitor this for a year</w:t>
      </w:r>
      <w:r w:rsidR="00A55362" w:rsidRPr="00A55362">
        <w:rPr>
          <w:rFonts w:cs="Arial"/>
          <w:szCs w:val="24"/>
        </w:rPr>
        <w:t>.</w:t>
      </w:r>
      <w:r>
        <w:rPr>
          <w:rFonts w:cs="Arial"/>
          <w:szCs w:val="24"/>
        </w:rPr>
        <w:t xml:space="preserve"> </w:t>
      </w:r>
    </w:p>
    <w:p w:rsidR="009234D3" w:rsidRPr="009234D3" w:rsidRDefault="009234D3" w:rsidP="009234D3">
      <w:pPr>
        <w:pStyle w:val="PlainText"/>
        <w:ind w:left="720"/>
        <w:jc w:val="both"/>
        <w:rPr>
          <w:rFonts w:cs="Arial"/>
          <w:szCs w:val="24"/>
        </w:rPr>
      </w:pPr>
    </w:p>
    <w:p w:rsidR="00972B46" w:rsidRPr="009234D3" w:rsidRDefault="00374555" w:rsidP="00637A9C">
      <w:pPr>
        <w:pStyle w:val="PlainText"/>
        <w:numPr>
          <w:ilvl w:val="0"/>
          <w:numId w:val="2"/>
        </w:numPr>
        <w:jc w:val="both"/>
        <w:rPr>
          <w:rFonts w:cs="Arial"/>
          <w:szCs w:val="24"/>
        </w:rPr>
      </w:pPr>
      <w:r>
        <w:rPr>
          <w:szCs w:val="24"/>
        </w:rPr>
        <w:t>For Council t</w:t>
      </w:r>
      <w:r w:rsidRPr="009234D3">
        <w:rPr>
          <w:szCs w:val="24"/>
        </w:rPr>
        <w:t xml:space="preserve">o be reassured </w:t>
      </w:r>
      <w:r>
        <w:rPr>
          <w:szCs w:val="24"/>
        </w:rPr>
        <w:t>on</w:t>
      </w:r>
      <w:r w:rsidRPr="009234D3">
        <w:rPr>
          <w:szCs w:val="24"/>
        </w:rPr>
        <w:t xml:space="preserve"> impact</w:t>
      </w:r>
      <w:r>
        <w:rPr>
          <w:szCs w:val="24"/>
        </w:rPr>
        <w:t xml:space="preserve"> from the changes, data from the previous month prior to implementation will be </w:t>
      </w:r>
      <w:r w:rsidR="00C450E6">
        <w:rPr>
          <w:szCs w:val="24"/>
        </w:rPr>
        <w:t>used</w:t>
      </w:r>
      <w:r>
        <w:rPr>
          <w:szCs w:val="24"/>
        </w:rPr>
        <w:t xml:space="preserve"> as the baseline and monitoring methodology will be agreed with Fusion.  </w:t>
      </w:r>
    </w:p>
    <w:p w:rsidR="00BD6B59" w:rsidRDefault="00BD6B59" w:rsidP="00BD6B59">
      <w:pPr>
        <w:pStyle w:val="PlainText"/>
        <w:ind w:left="720"/>
        <w:jc w:val="both"/>
        <w:rPr>
          <w:rFonts w:cs="Arial"/>
          <w:szCs w:val="24"/>
        </w:rPr>
      </w:pPr>
    </w:p>
    <w:p w:rsidR="00BD6B59" w:rsidRDefault="00334AEB" w:rsidP="00637A9C">
      <w:pPr>
        <w:pStyle w:val="PlainText"/>
        <w:numPr>
          <w:ilvl w:val="0"/>
          <w:numId w:val="2"/>
        </w:numPr>
        <w:jc w:val="both"/>
        <w:rPr>
          <w:rFonts w:cs="Arial"/>
          <w:szCs w:val="24"/>
        </w:rPr>
      </w:pPr>
      <w:r w:rsidRPr="00A31BCF">
        <w:rPr>
          <w:rFonts w:cs="Arial"/>
          <w:szCs w:val="24"/>
        </w:rPr>
        <w:t xml:space="preserve">If </w:t>
      </w:r>
      <w:r>
        <w:rPr>
          <w:rFonts w:cs="Arial"/>
          <w:szCs w:val="24"/>
        </w:rPr>
        <w:t>members wish to increase the 10% concession for ex-service people, a</w:t>
      </w:r>
      <w:r w:rsidR="00BD6B59">
        <w:rPr>
          <w:rFonts w:cs="Arial"/>
          <w:szCs w:val="24"/>
        </w:rPr>
        <w:t xml:space="preserve"> budget bid would need to come through the budget process</w:t>
      </w:r>
      <w:r>
        <w:rPr>
          <w:rFonts w:cs="Arial"/>
          <w:szCs w:val="24"/>
        </w:rPr>
        <w:t>.</w:t>
      </w:r>
    </w:p>
    <w:p w:rsidR="00DF6ADF" w:rsidRDefault="00DF6ADF" w:rsidP="00AB5FF4">
      <w:pPr>
        <w:pStyle w:val="ListParagraph"/>
      </w:pPr>
    </w:p>
    <w:p w:rsidR="009C42B0" w:rsidRDefault="009C42B0" w:rsidP="009C42B0">
      <w:pPr>
        <w:pStyle w:val="PlainText"/>
        <w:jc w:val="both"/>
        <w:rPr>
          <w:rFonts w:cs="Arial"/>
          <w:b/>
          <w:szCs w:val="24"/>
        </w:rPr>
      </w:pPr>
      <w:r w:rsidRPr="009C42B0">
        <w:rPr>
          <w:rFonts w:cs="Arial"/>
          <w:b/>
          <w:szCs w:val="24"/>
        </w:rPr>
        <w:t xml:space="preserve">Risk register </w:t>
      </w:r>
    </w:p>
    <w:p w:rsidR="009C42B0" w:rsidRDefault="009C42B0" w:rsidP="009C42B0">
      <w:pPr>
        <w:pStyle w:val="PlainText"/>
        <w:jc w:val="both"/>
        <w:rPr>
          <w:rFonts w:cs="Arial"/>
          <w:b/>
          <w:szCs w:val="24"/>
        </w:rPr>
      </w:pPr>
    </w:p>
    <w:p w:rsidR="009C42B0" w:rsidRDefault="009C42B0" w:rsidP="00637A9C">
      <w:pPr>
        <w:pStyle w:val="PlainText"/>
        <w:numPr>
          <w:ilvl w:val="0"/>
          <w:numId w:val="2"/>
        </w:numPr>
        <w:jc w:val="both"/>
        <w:rPr>
          <w:rFonts w:cs="Arial"/>
          <w:szCs w:val="24"/>
        </w:rPr>
      </w:pPr>
      <w:r w:rsidRPr="00972B46">
        <w:rPr>
          <w:rFonts w:cs="Arial"/>
          <w:szCs w:val="24"/>
        </w:rPr>
        <w:t xml:space="preserve">A </w:t>
      </w:r>
      <w:r w:rsidR="00972B46" w:rsidRPr="00972B46">
        <w:rPr>
          <w:rFonts w:cs="Arial"/>
          <w:szCs w:val="24"/>
        </w:rPr>
        <w:t>risk</w:t>
      </w:r>
      <w:r w:rsidRPr="00972B46">
        <w:rPr>
          <w:rFonts w:cs="Arial"/>
          <w:szCs w:val="24"/>
        </w:rPr>
        <w:t xml:space="preserve"> </w:t>
      </w:r>
      <w:r w:rsidR="00972B46" w:rsidRPr="00972B46">
        <w:rPr>
          <w:rFonts w:cs="Arial"/>
          <w:szCs w:val="24"/>
        </w:rPr>
        <w:t xml:space="preserve">register </w:t>
      </w:r>
      <w:r w:rsidRPr="00972B46">
        <w:rPr>
          <w:rFonts w:cs="Arial"/>
          <w:szCs w:val="24"/>
        </w:rPr>
        <w:t xml:space="preserve">is </w:t>
      </w:r>
      <w:r w:rsidR="00A55362">
        <w:rPr>
          <w:rFonts w:cs="Arial"/>
          <w:szCs w:val="24"/>
        </w:rPr>
        <w:t>included</w:t>
      </w:r>
      <w:r w:rsidR="00FA21D3">
        <w:rPr>
          <w:rFonts w:cs="Arial"/>
          <w:szCs w:val="24"/>
        </w:rPr>
        <w:t xml:space="preserve"> as </w:t>
      </w:r>
      <w:r w:rsidR="00FA6C09" w:rsidRPr="00972B46">
        <w:rPr>
          <w:rFonts w:cs="Arial"/>
          <w:szCs w:val="24"/>
        </w:rPr>
        <w:t>A</w:t>
      </w:r>
      <w:r w:rsidR="00972B46" w:rsidRPr="00972B46">
        <w:rPr>
          <w:rFonts w:cs="Arial"/>
          <w:szCs w:val="24"/>
        </w:rPr>
        <w:t>ppendix</w:t>
      </w:r>
      <w:r w:rsidRPr="00972B46">
        <w:rPr>
          <w:rFonts w:cs="Arial"/>
          <w:szCs w:val="24"/>
        </w:rPr>
        <w:t xml:space="preserve"> </w:t>
      </w:r>
      <w:r w:rsidR="00FA6C09">
        <w:rPr>
          <w:rFonts w:cs="Arial"/>
          <w:szCs w:val="24"/>
        </w:rPr>
        <w:t>5</w:t>
      </w:r>
      <w:r w:rsidR="00D17637">
        <w:rPr>
          <w:rFonts w:cs="Arial"/>
          <w:szCs w:val="24"/>
        </w:rPr>
        <w:t>.</w:t>
      </w:r>
    </w:p>
    <w:p w:rsidR="001F600F" w:rsidRDefault="001F600F" w:rsidP="009C42B0">
      <w:pPr>
        <w:pStyle w:val="PlainText"/>
        <w:jc w:val="both"/>
        <w:rPr>
          <w:rFonts w:cs="Arial"/>
          <w:szCs w:val="24"/>
        </w:rPr>
      </w:pPr>
    </w:p>
    <w:p w:rsidR="001F600F" w:rsidRDefault="001F600F" w:rsidP="009C42B0">
      <w:pPr>
        <w:pStyle w:val="PlainText"/>
        <w:jc w:val="both"/>
        <w:rPr>
          <w:rFonts w:cs="Arial"/>
          <w:b/>
          <w:szCs w:val="24"/>
        </w:rPr>
      </w:pPr>
      <w:r w:rsidRPr="001F600F">
        <w:rPr>
          <w:rFonts w:cs="Arial"/>
          <w:b/>
          <w:szCs w:val="24"/>
        </w:rPr>
        <w:t xml:space="preserve">Equalities Impact </w:t>
      </w:r>
    </w:p>
    <w:p w:rsidR="001F600F" w:rsidRDefault="001F600F" w:rsidP="009C42B0">
      <w:pPr>
        <w:pStyle w:val="PlainText"/>
        <w:jc w:val="both"/>
        <w:rPr>
          <w:rFonts w:cs="Arial"/>
          <w:b/>
          <w:szCs w:val="24"/>
        </w:rPr>
      </w:pPr>
    </w:p>
    <w:p w:rsidR="00A55362" w:rsidRPr="00A55362" w:rsidRDefault="001F600F" w:rsidP="00637A9C">
      <w:pPr>
        <w:pStyle w:val="PlainText"/>
        <w:numPr>
          <w:ilvl w:val="0"/>
          <w:numId w:val="2"/>
        </w:numPr>
        <w:jc w:val="both"/>
        <w:rPr>
          <w:rFonts w:cs="Arial"/>
          <w:szCs w:val="24"/>
        </w:rPr>
      </w:pPr>
      <w:r w:rsidRPr="00A55362">
        <w:rPr>
          <w:rFonts w:cs="Arial"/>
          <w:szCs w:val="24"/>
        </w:rPr>
        <w:t xml:space="preserve">An </w:t>
      </w:r>
      <w:r w:rsidR="00A55362" w:rsidRPr="00A55362">
        <w:rPr>
          <w:rFonts w:cs="Arial"/>
          <w:szCs w:val="24"/>
        </w:rPr>
        <w:t>equalities</w:t>
      </w:r>
      <w:r w:rsidRPr="00A55362">
        <w:rPr>
          <w:rFonts w:cs="Arial"/>
          <w:szCs w:val="24"/>
        </w:rPr>
        <w:t xml:space="preserve"> impact </w:t>
      </w:r>
      <w:r w:rsidR="00A55362" w:rsidRPr="00A55362">
        <w:rPr>
          <w:rFonts w:cs="Arial"/>
          <w:szCs w:val="24"/>
        </w:rPr>
        <w:t xml:space="preserve">assessment is included as </w:t>
      </w:r>
      <w:r w:rsidR="00FA6C09" w:rsidRPr="00A55362">
        <w:rPr>
          <w:rFonts w:cs="Arial"/>
          <w:szCs w:val="24"/>
        </w:rPr>
        <w:t>A</w:t>
      </w:r>
      <w:r w:rsidR="00A55362" w:rsidRPr="00A55362">
        <w:rPr>
          <w:rFonts w:cs="Arial"/>
          <w:szCs w:val="24"/>
        </w:rPr>
        <w:t xml:space="preserve">ppendix </w:t>
      </w:r>
      <w:r w:rsidR="00FA6C09">
        <w:rPr>
          <w:rFonts w:cs="Arial"/>
          <w:szCs w:val="24"/>
        </w:rPr>
        <w:t>6</w:t>
      </w:r>
      <w:r w:rsidR="00D17637">
        <w:rPr>
          <w:rFonts w:cs="Arial"/>
          <w:szCs w:val="24"/>
        </w:rPr>
        <w:t>.</w:t>
      </w:r>
    </w:p>
    <w:p w:rsidR="001F600F" w:rsidRPr="001F600F" w:rsidRDefault="001F600F" w:rsidP="009C42B0">
      <w:pPr>
        <w:pStyle w:val="PlainText"/>
        <w:jc w:val="both"/>
        <w:rPr>
          <w:rFonts w:cs="Arial"/>
          <w:b/>
          <w:szCs w:val="24"/>
        </w:rPr>
      </w:pPr>
    </w:p>
    <w:p w:rsidR="009C42B0" w:rsidRDefault="009C42B0" w:rsidP="009C42B0">
      <w:pPr>
        <w:pStyle w:val="PlainText"/>
        <w:jc w:val="both"/>
        <w:rPr>
          <w:rFonts w:cs="Arial"/>
          <w:b/>
          <w:szCs w:val="24"/>
        </w:rPr>
      </w:pPr>
      <w:r w:rsidRPr="009C42B0">
        <w:rPr>
          <w:rFonts w:cs="Arial"/>
          <w:b/>
          <w:szCs w:val="24"/>
        </w:rPr>
        <w:t xml:space="preserve">Summary </w:t>
      </w:r>
    </w:p>
    <w:p w:rsidR="009C42B0" w:rsidRDefault="009C42B0" w:rsidP="009C42B0">
      <w:pPr>
        <w:pStyle w:val="PlainText"/>
        <w:jc w:val="both"/>
        <w:rPr>
          <w:rFonts w:cs="Arial"/>
          <w:b/>
          <w:szCs w:val="24"/>
        </w:rPr>
      </w:pPr>
    </w:p>
    <w:p w:rsidR="009C42B0" w:rsidRPr="0077492B" w:rsidRDefault="009C42B0" w:rsidP="00B27825">
      <w:pPr>
        <w:pStyle w:val="PlainText"/>
        <w:numPr>
          <w:ilvl w:val="0"/>
          <w:numId w:val="2"/>
        </w:numPr>
        <w:jc w:val="both"/>
        <w:rPr>
          <w:rFonts w:cs="Arial"/>
          <w:szCs w:val="24"/>
        </w:rPr>
      </w:pPr>
      <w:r w:rsidRPr="0077492B">
        <w:rPr>
          <w:rFonts w:cs="Arial"/>
          <w:szCs w:val="24"/>
        </w:rPr>
        <w:t xml:space="preserve">The proposed changes will mean that </w:t>
      </w:r>
      <w:r w:rsidR="0077492B" w:rsidRPr="0077492B">
        <w:rPr>
          <w:rFonts w:cs="Arial"/>
          <w:szCs w:val="24"/>
        </w:rPr>
        <w:t>concessions are limited to people with the greate</w:t>
      </w:r>
      <w:r w:rsidR="0077492B">
        <w:rPr>
          <w:rFonts w:cs="Arial"/>
          <w:szCs w:val="24"/>
        </w:rPr>
        <w:t xml:space="preserve">st </w:t>
      </w:r>
      <w:r w:rsidR="0077492B" w:rsidRPr="0077492B">
        <w:rPr>
          <w:rFonts w:cs="Arial"/>
          <w:szCs w:val="24"/>
        </w:rPr>
        <w:t xml:space="preserve">need, or where </w:t>
      </w:r>
      <w:r w:rsidR="00AD0BFA">
        <w:rPr>
          <w:rFonts w:cs="Arial"/>
          <w:szCs w:val="24"/>
        </w:rPr>
        <w:t xml:space="preserve">members have made </w:t>
      </w:r>
      <w:r w:rsidR="0077492B" w:rsidRPr="0077492B">
        <w:rPr>
          <w:rFonts w:cs="Arial"/>
          <w:szCs w:val="24"/>
        </w:rPr>
        <w:t xml:space="preserve">policy choices. The changes will </w:t>
      </w:r>
      <w:r w:rsidR="00AD0BFA">
        <w:rPr>
          <w:rFonts w:cs="Arial"/>
          <w:szCs w:val="24"/>
        </w:rPr>
        <w:t>make the concessions scheme simpler for customers and easier for Fusion</w:t>
      </w:r>
      <w:r w:rsidR="00FB7AF8">
        <w:rPr>
          <w:rFonts w:cs="Arial"/>
          <w:szCs w:val="24"/>
        </w:rPr>
        <w:t xml:space="preserve"> </w:t>
      </w:r>
      <w:r w:rsidR="00AD0BFA">
        <w:rPr>
          <w:rFonts w:cs="Arial"/>
          <w:szCs w:val="24"/>
        </w:rPr>
        <w:t xml:space="preserve">to </w:t>
      </w:r>
      <w:r w:rsidRPr="0077492B">
        <w:rPr>
          <w:rFonts w:cs="Arial"/>
          <w:szCs w:val="24"/>
        </w:rPr>
        <w:t xml:space="preserve">promote. </w:t>
      </w:r>
    </w:p>
    <w:p w:rsidR="009C42B0" w:rsidRDefault="009C42B0" w:rsidP="00B86254">
      <w:pPr>
        <w:pStyle w:val="PlainText"/>
        <w:rPr>
          <w:rFonts w:cs="Arial"/>
          <w:szCs w:val="24"/>
        </w:rPr>
      </w:pPr>
    </w:p>
    <w:p w:rsidR="005A23F8" w:rsidRPr="005A23F8" w:rsidRDefault="009C42B0" w:rsidP="008B7CB2">
      <w:pPr>
        <w:pStyle w:val="PlainText"/>
        <w:numPr>
          <w:ilvl w:val="0"/>
          <w:numId w:val="2"/>
        </w:numPr>
        <w:jc w:val="both"/>
        <w:rPr>
          <w:b/>
        </w:rPr>
      </w:pPr>
      <w:r w:rsidRPr="005A23F8">
        <w:rPr>
          <w:rFonts w:cs="Arial"/>
          <w:szCs w:val="24"/>
        </w:rPr>
        <w:t>Due to the complexities in the data and the assumptions on the impact on usage</w:t>
      </w:r>
      <w:r w:rsidR="000F20B8" w:rsidRPr="005A23F8">
        <w:rPr>
          <w:rFonts w:cs="Arial"/>
          <w:szCs w:val="24"/>
        </w:rPr>
        <w:t>,</w:t>
      </w:r>
      <w:r w:rsidRPr="005A23F8">
        <w:rPr>
          <w:rFonts w:cs="Arial"/>
          <w:szCs w:val="24"/>
        </w:rPr>
        <w:t xml:space="preserve"> it is likely that Fusion would want to monitor any changes for a year to get a better </w:t>
      </w:r>
      <w:r w:rsidR="00A31BCF" w:rsidRPr="005A23F8">
        <w:rPr>
          <w:rFonts w:cs="Arial"/>
          <w:szCs w:val="24"/>
        </w:rPr>
        <w:t>u</w:t>
      </w:r>
      <w:r w:rsidRPr="005A23F8">
        <w:rPr>
          <w:rFonts w:cs="Arial"/>
          <w:szCs w:val="24"/>
        </w:rPr>
        <w:t xml:space="preserve">nderstanding of the impact on usage and income of any changes we ask them to make. </w:t>
      </w:r>
    </w:p>
    <w:p w:rsidR="008B7CB2" w:rsidRDefault="008B7CB2">
      <w:pPr>
        <w:rPr>
          <w:rFonts w:eastAsia="Calibri"/>
          <w:b/>
          <w:bCs/>
          <w:szCs w:val="21"/>
        </w:rPr>
      </w:pPr>
    </w:p>
    <w:p w:rsidR="005A23F8" w:rsidRDefault="005A23F8">
      <w:pPr>
        <w:rPr>
          <w:rFonts w:eastAsia="Calibri"/>
          <w:b/>
          <w:bCs/>
          <w:szCs w:val="2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27825" w:rsidTr="00A734A2">
        <w:trPr>
          <w:cantSplit/>
          <w:trHeight w:val="396"/>
        </w:trPr>
        <w:tc>
          <w:tcPr>
            <w:tcW w:w="3969" w:type="dxa"/>
            <w:tcBorders>
              <w:top w:val="single" w:sz="8" w:space="0" w:color="000000"/>
              <w:left w:val="single" w:sz="8" w:space="0" w:color="000000"/>
              <w:bottom w:val="single" w:sz="8" w:space="0" w:color="000000"/>
              <w:right w:val="nil"/>
            </w:tcBorders>
            <w:hideMark/>
          </w:tcPr>
          <w:p w:rsidR="00B27825" w:rsidRDefault="00B27825" w:rsidP="00A734A2">
            <w:pPr>
              <w:spacing w:after="120"/>
              <w:rPr>
                <w:b/>
                <w:color w:val="000000"/>
              </w:rPr>
            </w:pPr>
            <w:r>
              <w:rPr>
                <w:b/>
              </w:rPr>
              <w:t>Report author</w:t>
            </w:r>
          </w:p>
        </w:tc>
        <w:tc>
          <w:tcPr>
            <w:tcW w:w="4962" w:type="dxa"/>
            <w:tcBorders>
              <w:top w:val="single" w:sz="8" w:space="0" w:color="000000"/>
              <w:left w:val="nil"/>
              <w:bottom w:val="single" w:sz="8" w:space="0" w:color="000000"/>
              <w:right w:val="single" w:sz="8" w:space="0" w:color="000000"/>
            </w:tcBorders>
            <w:hideMark/>
          </w:tcPr>
          <w:p w:rsidR="00B27825" w:rsidRDefault="00B27825" w:rsidP="00A734A2">
            <w:pPr>
              <w:spacing w:after="120"/>
              <w:rPr>
                <w:color w:val="000000"/>
              </w:rPr>
            </w:pPr>
            <w:r>
              <w:t>Lucy Cherry</w:t>
            </w:r>
          </w:p>
        </w:tc>
      </w:tr>
      <w:tr w:rsidR="00B27825" w:rsidTr="00A734A2">
        <w:trPr>
          <w:cantSplit/>
          <w:trHeight w:val="396"/>
        </w:trPr>
        <w:tc>
          <w:tcPr>
            <w:tcW w:w="3969" w:type="dxa"/>
            <w:tcBorders>
              <w:top w:val="single" w:sz="8" w:space="0" w:color="000000"/>
              <w:left w:val="single" w:sz="8" w:space="0" w:color="000000"/>
              <w:bottom w:val="nil"/>
              <w:right w:val="nil"/>
            </w:tcBorders>
            <w:hideMark/>
          </w:tcPr>
          <w:p w:rsidR="00B27825" w:rsidRDefault="00B27825" w:rsidP="00A734A2">
            <w:pPr>
              <w:spacing w:after="120"/>
              <w:rPr>
                <w:color w:val="000000"/>
              </w:rPr>
            </w:pPr>
            <w:r>
              <w:t>Job title</w:t>
            </w:r>
          </w:p>
        </w:tc>
        <w:tc>
          <w:tcPr>
            <w:tcW w:w="4962" w:type="dxa"/>
            <w:tcBorders>
              <w:top w:val="single" w:sz="8" w:space="0" w:color="000000"/>
              <w:left w:val="nil"/>
              <w:bottom w:val="nil"/>
              <w:right w:val="single" w:sz="8" w:space="0" w:color="000000"/>
            </w:tcBorders>
            <w:hideMark/>
          </w:tcPr>
          <w:p w:rsidR="00B27825" w:rsidRDefault="00B27825" w:rsidP="00A734A2">
            <w:pPr>
              <w:spacing w:after="120"/>
              <w:rPr>
                <w:color w:val="000000"/>
              </w:rPr>
            </w:pPr>
            <w:r>
              <w:rPr>
                <w:rFonts w:cs="Arial"/>
                <w:color w:val="000000"/>
                <w:spacing w:val="4"/>
                <w:sz w:val="22"/>
                <w:szCs w:val="22"/>
                <w:lang w:val="en"/>
              </w:rPr>
              <w:t>Leisure &amp; Performance Manager</w:t>
            </w:r>
          </w:p>
        </w:tc>
      </w:tr>
      <w:tr w:rsidR="00B27825" w:rsidTr="00A734A2">
        <w:trPr>
          <w:cantSplit/>
          <w:trHeight w:val="396"/>
        </w:trPr>
        <w:tc>
          <w:tcPr>
            <w:tcW w:w="3969" w:type="dxa"/>
            <w:tcBorders>
              <w:top w:val="nil"/>
              <w:left w:val="single" w:sz="8" w:space="0" w:color="000000"/>
              <w:bottom w:val="nil"/>
              <w:right w:val="nil"/>
            </w:tcBorders>
            <w:hideMark/>
          </w:tcPr>
          <w:p w:rsidR="00B27825" w:rsidRDefault="00B27825" w:rsidP="00A734A2">
            <w:pPr>
              <w:spacing w:after="120"/>
              <w:rPr>
                <w:color w:val="000000"/>
              </w:rPr>
            </w:pPr>
            <w:r>
              <w:t>Service area or department</w:t>
            </w:r>
          </w:p>
        </w:tc>
        <w:tc>
          <w:tcPr>
            <w:tcW w:w="4962" w:type="dxa"/>
            <w:tcBorders>
              <w:top w:val="nil"/>
              <w:left w:val="nil"/>
              <w:bottom w:val="nil"/>
              <w:right w:val="single" w:sz="8" w:space="0" w:color="000000"/>
            </w:tcBorders>
            <w:hideMark/>
          </w:tcPr>
          <w:p w:rsidR="00B27825" w:rsidRDefault="00B27825" w:rsidP="00A734A2">
            <w:pPr>
              <w:spacing w:after="120"/>
              <w:rPr>
                <w:color w:val="000000"/>
              </w:rPr>
            </w:pPr>
            <w:r>
              <w:rPr>
                <w:color w:val="000000"/>
              </w:rPr>
              <w:t>Community Services</w:t>
            </w:r>
          </w:p>
        </w:tc>
      </w:tr>
      <w:tr w:rsidR="00B27825" w:rsidTr="00A734A2">
        <w:trPr>
          <w:cantSplit/>
          <w:trHeight w:val="396"/>
        </w:trPr>
        <w:tc>
          <w:tcPr>
            <w:tcW w:w="3969" w:type="dxa"/>
            <w:tcBorders>
              <w:top w:val="nil"/>
              <w:left w:val="single" w:sz="8" w:space="0" w:color="000000"/>
              <w:bottom w:val="nil"/>
              <w:right w:val="nil"/>
            </w:tcBorders>
            <w:hideMark/>
          </w:tcPr>
          <w:p w:rsidR="00B27825" w:rsidRDefault="00B27825" w:rsidP="00A734A2">
            <w:pPr>
              <w:spacing w:after="120"/>
              <w:rPr>
                <w:color w:val="000000"/>
              </w:rPr>
            </w:pPr>
            <w:r>
              <w:t xml:space="preserve">Telephone </w:t>
            </w:r>
          </w:p>
        </w:tc>
        <w:tc>
          <w:tcPr>
            <w:tcW w:w="4962" w:type="dxa"/>
            <w:tcBorders>
              <w:top w:val="nil"/>
              <w:left w:val="nil"/>
              <w:bottom w:val="nil"/>
              <w:right w:val="single" w:sz="8" w:space="0" w:color="000000"/>
            </w:tcBorders>
            <w:hideMark/>
          </w:tcPr>
          <w:p w:rsidR="00B27825" w:rsidRDefault="00B27825" w:rsidP="00A734A2">
            <w:pPr>
              <w:spacing w:after="120"/>
              <w:rPr>
                <w:color w:val="000000"/>
              </w:rPr>
            </w:pPr>
            <w:r>
              <w:t xml:space="preserve">01865 </w:t>
            </w:r>
            <w:r>
              <w:rPr>
                <w:rFonts w:cs="Arial"/>
                <w:color w:val="000000"/>
                <w:spacing w:val="4"/>
                <w:sz w:val="22"/>
                <w:szCs w:val="22"/>
                <w:lang w:val="en"/>
              </w:rPr>
              <w:t>25) 2707</w:t>
            </w:r>
          </w:p>
        </w:tc>
      </w:tr>
      <w:tr w:rsidR="00B27825" w:rsidTr="00A734A2">
        <w:trPr>
          <w:cantSplit/>
          <w:trHeight w:val="396"/>
        </w:trPr>
        <w:tc>
          <w:tcPr>
            <w:tcW w:w="3969" w:type="dxa"/>
            <w:tcBorders>
              <w:top w:val="nil"/>
              <w:left w:val="single" w:sz="8" w:space="0" w:color="000000"/>
              <w:bottom w:val="single" w:sz="8" w:space="0" w:color="000000"/>
              <w:right w:val="nil"/>
            </w:tcBorders>
            <w:hideMark/>
          </w:tcPr>
          <w:p w:rsidR="00B27825" w:rsidRDefault="00B27825" w:rsidP="00A734A2">
            <w:pPr>
              <w:spacing w:after="120"/>
              <w:rPr>
                <w:color w:val="000000"/>
              </w:rPr>
            </w:pPr>
            <w:r>
              <w:t xml:space="preserve">e-mail </w:t>
            </w:r>
          </w:p>
        </w:tc>
        <w:tc>
          <w:tcPr>
            <w:tcW w:w="4962" w:type="dxa"/>
            <w:tcBorders>
              <w:top w:val="nil"/>
              <w:left w:val="nil"/>
              <w:bottom w:val="single" w:sz="8" w:space="0" w:color="000000"/>
              <w:right w:val="single" w:sz="8" w:space="0" w:color="000000"/>
            </w:tcBorders>
            <w:hideMark/>
          </w:tcPr>
          <w:p w:rsidR="00B27825" w:rsidRDefault="00B27825" w:rsidP="00A734A2">
            <w:pPr>
              <w:spacing w:after="120"/>
              <w:rPr>
                <w:rStyle w:val="Hyperlink"/>
              </w:rPr>
            </w:pPr>
            <w:r>
              <w:rPr>
                <w:rStyle w:val="Hyperlink"/>
              </w:rPr>
              <w:t>lcherry@oxford.gov.uk</w:t>
            </w:r>
          </w:p>
        </w:tc>
      </w:tr>
    </w:tbl>
    <w:p w:rsidR="00B27825" w:rsidRDefault="00B27825">
      <w:pPr>
        <w:rPr>
          <w:rFonts w:eastAsia="Calibri"/>
          <w:b/>
          <w:bCs/>
          <w:szCs w:val="21"/>
        </w:rPr>
      </w:pPr>
    </w:p>
    <w:sectPr w:rsidR="00B27825" w:rsidSect="005A23F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13" w:rsidRDefault="00DB7C13">
      <w:r>
        <w:separator/>
      </w:r>
    </w:p>
  </w:endnote>
  <w:endnote w:type="continuationSeparator" w:id="0">
    <w:p w:rsidR="00DB7C13" w:rsidRDefault="00DB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Zapf Dingbats">
    <w:altName w:val="Symbol"/>
    <w:charset w:val="02"/>
    <w:family w:val="auto"/>
    <w:pitch w:val="variable"/>
    <w:sig w:usb0="00000000" w:usb1="0000001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Default="00B97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Pr="000B0D2A" w:rsidRDefault="00B977B9" w:rsidP="00DA6FE1">
    <w:pPr>
      <w:pStyle w:val="Footer"/>
      <w:tabs>
        <w:tab w:val="left" w:pos="4111"/>
      </w:tabs>
      <w:rPr>
        <w:rFonts w:cs="Arial"/>
        <w:sz w:val="20"/>
        <w:szCs w:val="20"/>
      </w:rPr>
    </w:pPr>
    <w:r w:rsidRPr="000B0D2A">
      <w:rPr>
        <w:rFonts w:cs="Arial"/>
        <w:sz w:val="20"/>
        <w:szCs w:val="20"/>
      </w:rPr>
      <w:t>HR&amp;F3</w:t>
    </w:r>
    <w:r>
      <w:rPr>
        <w:rFonts w:cs="Arial"/>
        <w:sz w:val="20"/>
        <w:szCs w:val="20"/>
      </w:rPr>
      <w:t>029   Version: v1.0</w:t>
    </w:r>
    <w:r w:rsidRPr="000B0D2A">
      <w:rPr>
        <w:rFonts w:cs="Arial"/>
        <w:sz w:val="20"/>
        <w:szCs w:val="20"/>
      </w:rPr>
      <w:t xml:space="preserve">    Dated: </w:t>
    </w:r>
    <w:r>
      <w:rPr>
        <w:rFonts w:cs="Arial"/>
        <w:sz w:val="20"/>
        <w:szCs w:val="20"/>
      </w:rPr>
      <w:t>08/08/14</w:t>
    </w:r>
    <w:r>
      <w:rPr>
        <w:rFonts w:cs="Arial"/>
        <w:sz w:val="20"/>
        <w:szCs w:val="20"/>
      </w:rPr>
      <w:tab/>
      <w:t xml:space="preserve">          Authorised by: </w:t>
    </w:r>
    <w:proofErr w:type="spellStart"/>
    <w:r>
      <w:rPr>
        <w:rFonts w:cs="Arial"/>
        <w:sz w:val="20"/>
        <w:szCs w:val="20"/>
      </w:rPr>
      <w:t>Jarlath</w:t>
    </w:r>
    <w:proofErr w:type="spellEnd"/>
    <w:r>
      <w:rPr>
        <w:rFonts w:cs="Arial"/>
        <w:sz w:val="20"/>
        <w:szCs w:val="20"/>
      </w:rPr>
      <w:t xml:space="preserve"> Brine</w:t>
    </w:r>
    <w:r w:rsidRPr="000B0D2A">
      <w:rPr>
        <w:rFonts w:cs="Arial"/>
        <w:sz w:val="20"/>
        <w:szCs w:val="20"/>
      </w:rPr>
      <w:tab/>
      <w:t xml:space="preserve">Page </w:t>
    </w:r>
    <w:r w:rsidRPr="000B0D2A">
      <w:rPr>
        <w:rFonts w:cs="Arial"/>
        <w:b/>
        <w:bCs/>
        <w:sz w:val="20"/>
        <w:szCs w:val="20"/>
      </w:rPr>
      <w:fldChar w:fldCharType="begin"/>
    </w:r>
    <w:r w:rsidRPr="000B0D2A">
      <w:rPr>
        <w:rFonts w:cs="Arial"/>
        <w:b/>
        <w:bCs/>
        <w:sz w:val="20"/>
        <w:szCs w:val="20"/>
      </w:rPr>
      <w:instrText xml:space="preserve"> PAGE </w:instrText>
    </w:r>
    <w:r w:rsidRPr="000B0D2A">
      <w:rPr>
        <w:rFonts w:cs="Arial"/>
        <w:b/>
        <w:bCs/>
        <w:sz w:val="20"/>
        <w:szCs w:val="20"/>
      </w:rPr>
      <w:fldChar w:fldCharType="separate"/>
    </w:r>
    <w:r w:rsidR="00BE2ECF">
      <w:rPr>
        <w:rFonts w:cs="Arial"/>
        <w:b/>
        <w:bCs/>
        <w:noProof/>
        <w:sz w:val="20"/>
        <w:szCs w:val="20"/>
      </w:rPr>
      <w:t>1</w:t>
    </w:r>
    <w:r w:rsidRPr="000B0D2A">
      <w:rPr>
        <w:rFonts w:cs="Arial"/>
        <w:b/>
        <w:bCs/>
        <w:sz w:val="20"/>
        <w:szCs w:val="20"/>
      </w:rPr>
      <w:fldChar w:fldCharType="end"/>
    </w:r>
    <w:r w:rsidRPr="000B0D2A">
      <w:rPr>
        <w:rFonts w:cs="Arial"/>
        <w:sz w:val="20"/>
        <w:szCs w:val="20"/>
      </w:rPr>
      <w:t xml:space="preserve"> of </w:t>
    </w:r>
    <w:r w:rsidRPr="000B0D2A">
      <w:rPr>
        <w:rFonts w:cs="Arial"/>
        <w:b/>
        <w:bCs/>
        <w:sz w:val="20"/>
        <w:szCs w:val="20"/>
      </w:rPr>
      <w:fldChar w:fldCharType="begin"/>
    </w:r>
    <w:r w:rsidRPr="000B0D2A">
      <w:rPr>
        <w:rFonts w:cs="Arial"/>
        <w:b/>
        <w:bCs/>
        <w:sz w:val="20"/>
        <w:szCs w:val="20"/>
      </w:rPr>
      <w:instrText xml:space="preserve"> NUMPAGES  </w:instrText>
    </w:r>
    <w:r w:rsidRPr="000B0D2A">
      <w:rPr>
        <w:rFonts w:cs="Arial"/>
        <w:b/>
        <w:bCs/>
        <w:sz w:val="20"/>
        <w:szCs w:val="20"/>
      </w:rPr>
      <w:fldChar w:fldCharType="separate"/>
    </w:r>
    <w:r w:rsidR="00BE2ECF">
      <w:rPr>
        <w:rFonts w:cs="Arial"/>
        <w:b/>
        <w:bCs/>
        <w:noProof/>
        <w:sz w:val="20"/>
        <w:szCs w:val="20"/>
      </w:rPr>
      <w:t>6</w:t>
    </w:r>
    <w:r w:rsidRPr="000B0D2A">
      <w:rPr>
        <w:rFonts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Default="00B97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13" w:rsidRDefault="00DB7C13">
      <w:r>
        <w:separator/>
      </w:r>
    </w:p>
  </w:footnote>
  <w:footnote w:type="continuationSeparator" w:id="0">
    <w:p w:rsidR="00DB7C13" w:rsidRDefault="00DB7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Default="00B97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Default="00B97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Default="00B97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1D7101"/>
    <w:multiLevelType w:val="hybridMultilevel"/>
    <w:tmpl w:val="26308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A4C70A4"/>
    <w:multiLevelType w:val="hybridMultilevel"/>
    <w:tmpl w:val="6464C382"/>
    <w:lvl w:ilvl="0" w:tplc="015437C6">
      <w:start w:val="24"/>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BF7453"/>
    <w:multiLevelType w:val="hybridMultilevel"/>
    <w:tmpl w:val="11BCC5E4"/>
    <w:lvl w:ilvl="0" w:tplc="6DD8847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86784A"/>
    <w:multiLevelType w:val="hybridMultilevel"/>
    <w:tmpl w:val="11BCC5E4"/>
    <w:lvl w:ilvl="0" w:tplc="6DD8847C">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88377B"/>
    <w:multiLevelType w:val="hybridMultilevel"/>
    <w:tmpl w:val="299EE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925"/>
    <w:rsid w:val="00012946"/>
    <w:rsid w:val="00012D2F"/>
    <w:rsid w:val="0001797A"/>
    <w:rsid w:val="000213F8"/>
    <w:rsid w:val="00025047"/>
    <w:rsid w:val="000302A8"/>
    <w:rsid w:val="00031199"/>
    <w:rsid w:val="0003431D"/>
    <w:rsid w:val="000374E3"/>
    <w:rsid w:val="00041401"/>
    <w:rsid w:val="00043681"/>
    <w:rsid w:val="00043B2C"/>
    <w:rsid w:val="000501AD"/>
    <w:rsid w:val="00050E32"/>
    <w:rsid w:val="00051F51"/>
    <w:rsid w:val="00052803"/>
    <w:rsid w:val="00053C9B"/>
    <w:rsid w:val="00056263"/>
    <w:rsid w:val="000574CA"/>
    <w:rsid w:val="0006480F"/>
    <w:rsid w:val="00067275"/>
    <w:rsid w:val="0007368E"/>
    <w:rsid w:val="00077679"/>
    <w:rsid w:val="00081605"/>
    <w:rsid w:val="00082330"/>
    <w:rsid w:val="000833CC"/>
    <w:rsid w:val="00087EFC"/>
    <w:rsid w:val="00090014"/>
    <w:rsid w:val="00090EC2"/>
    <w:rsid w:val="00093722"/>
    <w:rsid w:val="00096FB4"/>
    <w:rsid w:val="000A1D15"/>
    <w:rsid w:val="000A1F95"/>
    <w:rsid w:val="000A2D71"/>
    <w:rsid w:val="000A5B0B"/>
    <w:rsid w:val="000B1F7B"/>
    <w:rsid w:val="000B291B"/>
    <w:rsid w:val="000B762F"/>
    <w:rsid w:val="000C3928"/>
    <w:rsid w:val="000C7E12"/>
    <w:rsid w:val="000D27B6"/>
    <w:rsid w:val="000E0E6C"/>
    <w:rsid w:val="000E45A9"/>
    <w:rsid w:val="000E6821"/>
    <w:rsid w:val="000F20B8"/>
    <w:rsid w:val="000F2869"/>
    <w:rsid w:val="000F294F"/>
    <w:rsid w:val="000F2E28"/>
    <w:rsid w:val="000F4E04"/>
    <w:rsid w:val="000F538D"/>
    <w:rsid w:val="0010066E"/>
    <w:rsid w:val="00102319"/>
    <w:rsid w:val="0010745A"/>
    <w:rsid w:val="00107ED3"/>
    <w:rsid w:val="00113767"/>
    <w:rsid w:val="0011453D"/>
    <w:rsid w:val="00123672"/>
    <w:rsid w:val="001276CF"/>
    <w:rsid w:val="001309A6"/>
    <w:rsid w:val="001328CA"/>
    <w:rsid w:val="00134631"/>
    <w:rsid w:val="00137E91"/>
    <w:rsid w:val="001441AE"/>
    <w:rsid w:val="00155152"/>
    <w:rsid w:val="001570CF"/>
    <w:rsid w:val="0016054B"/>
    <w:rsid w:val="00161EFA"/>
    <w:rsid w:val="001620BA"/>
    <w:rsid w:val="001628F4"/>
    <w:rsid w:val="00162C94"/>
    <w:rsid w:val="00163911"/>
    <w:rsid w:val="00166566"/>
    <w:rsid w:val="0016784D"/>
    <w:rsid w:val="00171BEC"/>
    <w:rsid w:val="0017202A"/>
    <w:rsid w:val="0017309A"/>
    <w:rsid w:val="00173468"/>
    <w:rsid w:val="001834A2"/>
    <w:rsid w:val="00183E4D"/>
    <w:rsid w:val="00183F3D"/>
    <w:rsid w:val="00185E88"/>
    <w:rsid w:val="0018779B"/>
    <w:rsid w:val="001958E3"/>
    <w:rsid w:val="00195998"/>
    <w:rsid w:val="001A2504"/>
    <w:rsid w:val="001A59FF"/>
    <w:rsid w:val="001A5D2B"/>
    <w:rsid w:val="001A66BF"/>
    <w:rsid w:val="001B0661"/>
    <w:rsid w:val="001B7B7B"/>
    <w:rsid w:val="001C0202"/>
    <w:rsid w:val="001C0359"/>
    <w:rsid w:val="001C0423"/>
    <w:rsid w:val="001C5E92"/>
    <w:rsid w:val="001C60B6"/>
    <w:rsid w:val="001D5ADD"/>
    <w:rsid w:val="001E0868"/>
    <w:rsid w:val="001E2918"/>
    <w:rsid w:val="001E4584"/>
    <w:rsid w:val="001E6066"/>
    <w:rsid w:val="001E6DFC"/>
    <w:rsid w:val="001E761D"/>
    <w:rsid w:val="001E7C4F"/>
    <w:rsid w:val="001E7FC1"/>
    <w:rsid w:val="001F3361"/>
    <w:rsid w:val="001F4466"/>
    <w:rsid w:val="001F5525"/>
    <w:rsid w:val="001F600F"/>
    <w:rsid w:val="001F7D36"/>
    <w:rsid w:val="00201219"/>
    <w:rsid w:val="002035CE"/>
    <w:rsid w:val="0020466A"/>
    <w:rsid w:val="00204718"/>
    <w:rsid w:val="00204C1C"/>
    <w:rsid w:val="00206751"/>
    <w:rsid w:val="00213F15"/>
    <w:rsid w:val="002142B5"/>
    <w:rsid w:val="002177B3"/>
    <w:rsid w:val="002179B7"/>
    <w:rsid w:val="002205E2"/>
    <w:rsid w:val="0022457B"/>
    <w:rsid w:val="00225609"/>
    <w:rsid w:val="00225920"/>
    <w:rsid w:val="00230823"/>
    <w:rsid w:val="00230FF0"/>
    <w:rsid w:val="00231F67"/>
    <w:rsid w:val="00234047"/>
    <w:rsid w:val="00236066"/>
    <w:rsid w:val="00236E4E"/>
    <w:rsid w:val="00237AD7"/>
    <w:rsid w:val="00240FFB"/>
    <w:rsid w:val="00242638"/>
    <w:rsid w:val="00244BAB"/>
    <w:rsid w:val="00244DC1"/>
    <w:rsid w:val="00245055"/>
    <w:rsid w:val="0024780F"/>
    <w:rsid w:val="002504CA"/>
    <w:rsid w:val="00251F5C"/>
    <w:rsid w:val="00252502"/>
    <w:rsid w:val="00254AAA"/>
    <w:rsid w:val="00255B27"/>
    <w:rsid w:val="002641E7"/>
    <w:rsid w:val="0026762C"/>
    <w:rsid w:val="002676BE"/>
    <w:rsid w:val="002676E5"/>
    <w:rsid w:val="0027391D"/>
    <w:rsid w:val="002746D1"/>
    <w:rsid w:val="002747F7"/>
    <w:rsid w:val="002804A0"/>
    <w:rsid w:val="00280C53"/>
    <w:rsid w:val="0028181C"/>
    <w:rsid w:val="002830F5"/>
    <w:rsid w:val="00283F37"/>
    <w:rsid w:val="00285626"/>
    <w:rsid w:val="002879C8"/>
    <w:rsid w:val="00291CA5"/>
    <w:rsid w:val="00293730"/>
    <w:rsid w:val="0029600E"/>
    <w:rsid w:val="002960EC"/>
    <w:rsid w:val="00297D23"/>
    <w:rsid w:val="002A06CC"/>
    <w:rsid w:val="002A225D"/>
    <w:rsid w:val="002A2880"/>
    <w:rsid w:val="002A3DB1"/>
    <w:rsid w:val="002A5FAB"/>
    <w:rsid w:val="002A6476"/>
    <w:rsid w:val="002A79A0"/>
    <w:rsid w:val="002A7E0D"/>
    <w:rsid w:val="002B008E"/>
    <w:rsid w:val="002B4F62"/>
    <w:rsid w:val="002B6258"/>
    <w:rsid w:val="002C1301"/>
    <w:rsid w:val="002C6C7D"/>
    <w:rsid w:val="002C762D"/>
    <w:rsid w:val="002D2ADA"/>
    <w:rsid w:val="002D7809"/>
    <w:rsid w:val="002E0A27"/>
    <w:rsid w:val="002E1344"/>
    <w:rsid w:val="002E44BD"/>
    <w:rsid w:val="002F1B9B"/>
    <w:rsid w:val="00303BBE"/>
    <w:rsid w:val="00303D14"/>
    <w:rsid w:val="00306F5B"/>
    <w:rsid w:val="00313855"/>
    <w:rsid w:val="00314DEF"/>
    <w:rsid w:val="003150B6"/>
    <w:rsid w:val="00315E88"/>
    <w:rsid w:val="003169B0"/>
    <w:rsid w:val="00326912"/>
    <w:rsid w:val="00326C88"/>
    <w:rsid w:val="0033086F"/>
    <w:rsid w:val="003335E0"/>
    <w:rsid w:val="00334AEB"/>
    <w:rsid w:val="0034015F"/>
    <w:rsid w:val="003440A9"/>
    <w:rsid w:val="003475BA"/>
    <w:rsid w:val="00351327"/>
    <w:rsid w:val="00351930"/>
    <w:rsid w:val="00355A62"/>
    <w:rsid w:val="00357090"/>
    <w:rsid w:val="00360A1A"/>
    <w:rsid w:val="00363412"/>
    <w:rsid w:val="0036766D"/>
    <w:rsid w:val="00367DF8"/>
    <w:rsid w:val="0037081C"/>
    <w:rsid w:val="003720C7"/>
    <w:rsid w:val="00372D07"/>
    <w:rsid w:val="00374555"/>
    <w:rsid w:val="00375CA8"/>
    <w:rsid w:val="00376128"/>
    <w:rsid w:val="00376DA9"/>
    <w:rsid w:val="0037730B"/>
    <w:rsid w:val="003774F0"/>
    <w:rsid w:val="00377A7F"/>
    <w:rsid w:val="00383756"/>
    <w:rsid w:val="003870DC"/>
    <w:rsid w:val="00390B35"/>
    <w:rsid w:val="0039138E"/>
    <w:rsid w:val="003919B1"/>
    <w:rsid w:val="00393E00"/>
    <w:rsid w:val="00394D33"/>
    <w:rsid w:val="00394E03"/>
    <w:rsid w:val="003A00B3"/>
    <w:rsid w:val="003A2914"/>
    <w:rsid w:val="003A306F"/>
    <w:rsid w:val="003A3CD0"/>
    <w:rsid w:val="003A4CF7"/>
    <w:rsid w:val="003A6101"/>
    <w:rsid w:val="003B3AF7"/>
    <w:rsid w:val="003B65D1"/>
    <w:rsid w:val="003B7A7F"/>
    <w:rsid w:val="003C464B"/>
    <w:rsid w:val="003C59A7"/>
    <w:rsid w:val="003C7192"/>
    <w:rsid w:val="003D122D"/>
    <w:rsid w:val="003D2368"/>
    <w:rsid w:val="003D3A59"/>
    <w:rsid w:val="003D3D74"/>
    <w:rsid w:val="003D4719"/>
    <w:rsid w:val="003D5042"/>
    <w:rsid w:val="003E0BB1"/>
    <w:rsid w:val="003E22C6"/>
    <w:rsid w:val="003E690A"/>
    <w:rsid w:val="003E7C34"/>
    <w:rsid w:val="003F12F6"/>
    <w:rsid w:val="003F2FBD"/>
    <w:rsid w:val="003F7C8D"/>
    <w:rsid w:val="00401030"/>
    <w:rsid w:val="00401400"/>
    <w:rsid w:val="0040721E"/>
    <w:rsid w:val="00410228"/>
    <w:rsid w:val="00410680"/>
    <w:rsid w:val="00414A35"/>
    <w:rsid w:val="00414AE3"/>
    <w:rsid w:val="0042027F"/>
    <w:rsid w:val="0042262D"/>
    <w:rsid w:val="00423157"/>
    <w:rsid w:val="00424DE2"/>
    <w:rsid w:val="00424E30"/>
    <w:rsid w:val="00426099"/>
    <w:rsid w:val="00431642"/>
    <w:rsid w:val="00431A04"/>
    <w:rsid w:val="004337E4"/>
    <w:rsid w:val="00433C53"/>
    <w:rsid w:val="004354B5"/>
    <w:rsid w:val="00435655"/>
    <w:rsid w:val="0043621F"/>
    <w:rsid w:val="00443E38"/>
    <w:rsid w:val="004450B8"/>
    <w:rsid w:val="00446595"/>
    <w:rsid w:val="0045014B"/>
    <w:rsid w:val="00452F0B"/>
    <w:rsid w:val="00453B3E"/>
    <w:rsid w:val="00455F36"/>
    <w:rsid w:val="00457758"/>
    <w:rsid w:val="004579BE"/>
    <w:rsid w:val="00457FC4"/>
    <w:rsid w:val="00460A44"/>
    <w:rsid w:val="0046202A"/>
    <w:rsid w:val="004630D8"/>
    <w:rsid w:val="004634C9"/>
    <w:rsid w:val="0046536D"/>
    <w:rsid w:val="004656F7"/>
    <w:rsid w:val="004657EA"/>
    <w:rsid w:val="00465D2E"/>
    <w:rsid w:val="00465EAF"/>
    <w:rsid w:val="004672FD"/>
    <w:rsid w:val="004673BE"/>
    <w:rsid w:val="00471FF4"/>
    <w:rsid w:val="0047323B"/>
    <w:rsid w:val="0047415D"/>
    <w:rsid w:val="0047513D"/>
    <w:rsid w:val="0047664D"/>
    <w:rsid w:val="00476F45"/>
    <w:rsid w:val="00482B35"/>
    <w:rsid w:val="00483693"/>
    <w:rsid w:val="00483A96"/>
    <w:rsid w:val="00485077"/>
    <w:rsid w:val="0048551A"/>
    <w:rsid w:val="00487B6D"/>
    <w:rsid w:val="00487F77"/>
    <w:rsid w:val="00490063"/>
    <w:rsid w:val="00493C4F"/>
    <w:rsid w:val="0049727A"/>
    <w:rsid w:val="004A024C"/>
    <w:rsid w:val="004A48C5"/>
    <w:rsid w:val="004A5DF0"/>
    <w:rsid w:val="004B0A93"/>
    <w:rsid w:val="004B0E67"/>
    <w:rsid w:val="004B2B7D"/>
    <w:rsid w:val="004B4CE5"/>
    <w:rsid w:val="004C0C67"/>
    <w:rsid w:val="004C1C84"/>
    <w:rsid w:val="004C269E"/>
    <w:rsid w:val="004C386E"/>
    <w:rsid w:val="004C633A"/>
    <w:rsid w:val="004C7D1C"/>
    <w:rsid w:val="004D4410"/>
    <w:rsid w:val="004D4B48"/>
    <w:rsid w:val="004D7A82"/>
    <w:rsid w:val="004D7B4B"/>
    <w:rsid w:val="004E17A2"/>
    <w:rsid w:val="004E19AB"/>
    <w:rsid w:val="004E1DD9"/>
    <w:rsid w:val="004E2416"/>
    <w:rsid w:val="004E5627"/>
    <w:rsid w:val="004F0463"/>
    <w:rsid w:val="004F3804"/>
    <w:rsid w:val="004F4EA3"/>
    <w:rsid w:val="005011AE"/>
    <w:rsid w:val="005012ED"/>
    <w:rsid w:val="00501FDD"/>
    <w:rsid w:val="0050413A"/>
    <w:rsid w:val="005053A4"/>
    <w:rsid w:val="00507928"/>
    <w:rsid w:val="00511E3C"/>
    <w:rsid w:val="0051465D"/>
    <w:rsid w:val="00514770"/>
    <w:rsid w:val="00516288"/>
    <w:rsid w:val="005214C6"/>
    <w:rsid w:val="005236FC"/>
    <w:rsid w:val="00527373"/>
    <w:rsid w:val="00530410"/>
    <w:rsid w:val="00532C4F"/>
    <w:rsid w:val="00534004"/>
    <w:rsid w:val="00534960"/>
    <w:rsid w:val="00537D62"/>
    <w:rsid w:val="005425BB"/>
    <w:rsid w:val="00543960"/>
    <w:rsid w:val="00545E38"/>
    <w:rsid w:val="00546D98"/>
    <w:rsid w:val="0055286D"/>
    <w:rsid w:val="0055346B"/>
    <w:rsid w:val="005576B9"/>
    <w:rsid w:val="0056136D"/>
    <w:rsid w:val="00561C12"/>
    <w:rsid w:val="00565B37"/>
    <w:rsid w:val="00565C9D"/>
    <w:rsid w:val="00566274"/>
    <w:rsid w:val="0056656C"/>
    <w:rsid w:val="00570279"/>
    <w:rsid w:val="00572812"/>
    <w:rsid w:val="0057352E"/>
    <w:rsid w:val="00573B2D"/>
    <w:rsid w:val="00576170"/>
    <w:rsid w:val="00576476"/>
    <w:rsid w:val="0058053F"/>
    <w:rsid w:val="0058122E"/>
    <w:rsid w:val="00587199"/>
    <w:rsid w:val="00593476"/>
    <w:rsid w:val="005934FD"/>
    <w:rsid w:val="005937D9"/>
    <w:rsid w:val="00593998"/>
    <w:rsid w:val="00593DD7"/>
    <w:rsid w:val="00595EE6"/>
    <w:rsid w:val="005966B9"/>
    <w:rsid w:val="00597224"/>
    <w:rsid w:val="005A016A"/>
    <w:rsid w:val="005A20CE"/>
    <w:rsid w:val="005A23F8"/>
    <w:rsid w:val="005A266C"/>
    <w:rsid w:val="005A4324"/>
    <w:rsid w:val="005A462C"/>
    <w:rsid w:val="005A5872"/>
    <w:rsid w:val="005A75BC"/>
    <w:rsid w:val="005B1E78"/>
    <w:rsid w:val="005B3F5A"/>
    <w:rsid w:val="005B488B"/>
    <w:rsid w:val="005B5B8F"/>
    <w:rsid w:val="005B6139"/>
    <w:rsid w:val="005B7BEA"/>
    <w:rsid w:val="005C0245"/>
    <w:rsid w:val="005C2DF7"/>
    <w:rsid w:val="005C59D9"/>
    <w:rsid w:val="005C6841"/>
    <w:rsid w:val="005C6F7E"/>
    <w:rsid w:val="005C72F3"/>
    <w:rsid w:val="005D1202"/>
    <w:rsid w:val="005E18D6"/>
    <w:rsid w:val="005E3F1C"/>
    <w:rsid w:val="005E57F2"/>
    <w:rsid w:val="005E7F60"/>
    <w:rsid w:val="005F2FA7"/>
    <w:rsid w:val="005F3254"/>
    <w:rsid w:val="005F64AD"/>
    <w:rsid w:val="005F7804"/>
    <w:rsid w:val="005F7818"/>
    <w:rsid w:val="00600938"/>
    <w:rsid w:val="00603685"/>
    <w:rsid w:val="006055A6"/>
    <w:rsid w:val="006126CC"/>
    <w:rsid w:val="00614868"/>
    <w:rsid w:val="00615C4F"/>
    <w:rsid w:val="006200A1"/>
    <w:rsid w:val="006208FF"/>
    <w:rsid w:val="0062233F"/>
    <w:rsid w:val="00623917"/>
    <w:rsid w:val="0062434D"/>
    <w:rsid w:val="00624BAF"/>
    <w:rsid w:val="006323A2"/>
    <w:rsid w:val="00633249"/>
    <w:rsid w:val="00635B9A"/>
    <w:rsid w:val="00637044"/>
    <w:rsid w:val="006373E0"/>
    <w:rsid w:val="00637A9C"/>
    <w:rsid w:val="00642B49"/>
    <w:rsid w:val="00644171"/>
    <w:rsid w:val="006444D5"/>
    <w:rsid w:val="006448FC"/>
    <w:rsid w:val="00647180"/>
    <w:rsid w:val="00647A9B"/>
    <w:rsid w:val="00650F97"/>
    <w:rsid w:val="00652BE6"/>
    <w:rsid w:val="00653A3A"/>
    <w:rsid w:val="006553CA"/>
    <w:rsid w:val="0065688B"/>
    <w:rsid w:val="00656A2C"/>
    <w:rsid w:val="00656DCA"/>
    <w:rsid w:val="00660BFA"/>
    <w:rsid w:val="00661ACD"/>
    <w:rsid w:val="006624C3"/>
    <w:rsid w:val="00667D8D"/>
    <w:rsid w:val="006701AC"/>
    <w:rsid w:val="00670A81"/>
    <w:rsid w:val="006714E3"/>
    <w:rsid w:val="00673182"/>
    <w:rsid w:val="00675714"/>
    <w:rsid w:val="00677E43"/>
    <w:rsid w:val="0068067D"/>
    <w:rsid w:val="0068246B"/>
    <w:rsid w:val="00687E15"/>
    <w:rsid w:val="0069068E"/>
    <w:rsid w:val="0069122E"/>
    <w:rsid w:val="006953C6"/>
    <w:rsid w:val="00697776"/>
    <w:rsid w:val="00697858"/>
    <w:rsid w:val="00697868"/>
    <w:rsid w:val="006A1023"/>
    <w:rsid w:val="006A1EBD"/>
    <w:rsid w:val="006A2674"/>
    <w:rsid w:val="006A4F09"/>
    <w:rsid w:val="006A5B36"/>
    <w:rsid w:val="006A6686"/>
    <w:rsid w:val="006B40AF"/>
    <w:rsid w:val="006B6148"/>
    <w:rsid w:val="006C07AC"/>
    <w:rsid w:val="006C28B5"/>
    <w:rsid w:val="006C52B7"/>
    <w:rsid w:val="006C55B1"/>
    <w:rsid w:val="006C5B36"/>
    <w:rsid w:val="006C5EFA"/>
    <w:rsid w:val="006C6632"/>
    <w:rsid w:val="006C696F"/>
    <w:rsid w:val="006C79C1"/>
    <w:rsid w:val="006D0B35"/>
    <w:rsid w:val="006D2192"/>
    <w:rsid w:val="006D362D"/>
    <w:rsid w:val="006D40A1"/>
    <w:rsid w:val="006D4DFF"/>
    <w:rsid w:val="006D7DBD"/>
    <w:rsid w:val="006E00B3"/>
    <w:rsid w:val="006E252F"/>
    <w:rsid w:val="006E635B"/>
    <w:rsid w:val="006E6820"/>
    <w:rsid w:val="006E6F04"/>
    <w:rsid w:val="006E7A2E"/>
    <w:rsid w:val="006E7EAA"/>
    <w:rsid w:val="006F09ED"/>
    <w:rsid w:val="006F12A1"/>
    <w:rsid w:val="006F1768"/>
    <w:rsid w:val="006F3357"/>
    <w:rsid w:val="006F58CB"/>
    <w:rsid w:val="006F6EDA"/>
    <w:rsid w:val="007005E3"/>
    <w:rsid w:val="00703039"/>
    <w:rsid w:val="00703E52"/>
    <w:rsid w:val="0070461C"/>
    <w:rsid w:val="007049E0"/>
    <w:rsid w:val="00707557"/>
    <w:rsid w:val="00713675"/>
    <w:rsid w:val="007141A7"/>
    <w:rsid w:val="0071751C"/>
    <w:rsid w:val="00722550"/>
    <w:rsid w:val="00723958"/>
    <w:rsid w:val="00727208"/>
    <w:rsid w:val="00727E88"/>
    <w:rsid w:val="0073032B"/>
    <w:rsid w:val="0073263B"/>
    <w:rsid w:val="00733ED5"/>
    <w:rsid w:val="0073713D"/>
    <w:rsid w:val="0073723B"/>
    <w:rsid w:val="007406CD"/>
    <w:rsid w:val="00740A14"/>
    <w:rsid w:val="0074206F"/>
    <w:rsid w:val="00745D88"/>
    <w:rsid w:val="007501E2"/>
    <w:rsid w:val="0075199F"/>
    <w:rsid w:val="00752DB7"/>
    <w:rsid w:val="007552D3"/>
    <w:rsid w:val="00760BDA"/>
    <w:rsid w:val="00771483"/>
    <w:rsid w:val="007720BC"/>
    <w:rsid w:val="00773676"/>
    <w:rsid w:val="0077492B"/>
    <w:rsid w:val="00774ED7"/>
    <w:rsid w:val="007803E8"/>
    <w:rsid w:val="00781874"/>
    <w:rsid w:val="00782249"/>
    <w:rsid w:val="00784E1E"/>
    <w:rsid w:val="00785C28"/>
    <w:rsid w:val="00787B90"/>
    <w:rsid w:val="00787ECE"/>
    <w:rsid w:val="00791345"/>
    <w:rsid w:val="00791A86"/>
    <w:rsid w:val="0079341B"/>
    <w:rsid w:val="0079777B"/>
    <w:rsid w:val="007A0F69"/>
    <w:rsid w:val="007A15D1"/>
    <w:rsid w:val="007A3475"/>
    <w:rsid w:val="007A3C76"/>
    <w:rsid w:val="007A6400"/>
    <w:rsid w:val="007B1909"/>
    <w:rsid w:val="007B2DD0"/>
    <w:rsid w:val="007B3910"/>
    <w:rsid w:val="007B3A36"/>
    <w:rsid w:val="007B419D"/>
    <w:rsid w:val="007B6453"/>
    <w:rsid w:val="007B7BFF"/>
    <w:rsid w:val="007C2FD2"/>
    <w:rsid w:val="007C36FD"/>
    <w:rsid w:val="007C3E89"/>
    <w:rsid w:val="007C4397"/>
    <w:rsid w:val="007C65DE"/>
    <w:rsid w:val="007C6F62"/>
    <w:rsid w:val="007C7676"/>
    <w:rsid w:val="007D0B97"/>
    <w:rsid w:val="007D231A"/>
    <w:rsid w:val="007D4E55"/>
    <w:rsid w:val="007E01F9"/>
    <w:rsid w:val="007E07A1"/>
    <w:rsid w:val="007E1860"/>
    <w:rsid w:val="007F1C42"/>
    <w:rsid w:val="007F2175"/>
    <w:rsid w:val="007F2F60"/>
    <w:rsid w:val="007F4267"/>
    <w:rsid w:val="007F579C"/>
    <w:rsid w:val="007F6988"/>
    <w:rsid w:val="007F6B0F"/>
    <w:rsid w:val="008015DA"/>
    <w:rsid w:val="00802036"/>
    <w:rsid w:val="00803C2C"/>
    <w:rsid w:val="008043E1"/>
    <w:rsid w:val="008070F8"/>
    <w:rsid w:val="00810376"/>
    <w:rsid w:val="008168F9"/>
    <w:rsid w:val="008171C3"/>
    <w:rsid w:val="00817697"/>
    <w:rsid w:val="0082115E"/>
    <w:rsid w:val="00825655"/>
    <w:rsid w:val="00826173"/>
    <w:rsid w:val="0083065F"/>
    <w:rsid w:val="00832DA9"/>
    <w:rsid w:val="00842123"/>
    <w:rsid w:val="00843857"/>
    <w:rsid w:val="00851356"/>
    <w:rsid w:val="00855BFB"/>
    <w:rsid w:val="00855C66"/>
    <w:rsid w:val="00856F8C"/>
    <w:rsid w:val="00866230"/>
    <w:rsid w:val="00871900"/>
    <w:rsid w:val="00872BB9"/>
    <w:rsid w:val="00874209"/>
    <w:rsid w:val="00883B02"/>
    <w:rsid w:val="0088607F"/>
    <w:rsid w:val="008920C6"/>
    <w:rsid w:val="008925D8"/>
    <w:rsid w:val="00896A2B"/>
    <w:rsid w:val="008A3061"/>
    <w:rsid w:val="008A5DC0"/>
    <w:rsid w:val="008B3302"/>
    <w:rsid w:val="008B568D"/>
    <w:rsid w:val="008B7588"/>
    <w:rsid w:val="008B7CB2"/>
    <w:rsid w:val="008C22FE"/>
    <w:rsid w:val="008C4F66"/>
    <w:rsid w:val="008C59AE"/>
    <w:rsid w:val="008C71B1"/>
    <w:rsid w:val="008D09CF"/>
    <w:rsid w:val="008D2D9D"/>
    <w:rsid w:val="008D340F"/>
    <w:rsid w:val="008D34F9"/>
    <w:rsid w:val="008D53D4"/>
    <w:rsid w:val="008D6C7A"/>
    <w:rsid w:val="008E4096"/>
    <w:rsid w:val="008E4B14"/>
    <w:rsid w:val="008E732D"/>
    <w:rsid w:val="008F416C"/>
    <w:rsid w:val="009000DA"/>
    <w:rsid w:val="00901760"/>
    <w:rsid w:val="00901A28"/>
    <w:rsid w:val="009066F6"/>
    <w:rsid w:val="009069D4"/>
    <w:rsid w:val="009071B7"/>
    <w:rsid w:val="0091215E"/>
    <w:rsid w:val="00915302"/>
    <w:rsid w:val="009234B8"/>
    <w:rsid w:val="009234D3"/>
    <w:rsid w:val="009249A8"/>
    <w:rsid w:val="00925336"/>
    <w:rsid w:val="009300A5"/>
    <w:rsid w:val="00930EC7"/>
    <w:rsid w:val="00936DB6"/>
    <w:rsid w:val="009371FA"/>
    <w:rsid w:val="0093792F"/>
    <w:rsid w:val="0094366C"/>
    <w:rsid w:val="00946544"/>
    <w:rsid w:val="009466FE"/>
    <w:rsid w:val="00950F56"/>
    <w:rsid w:val="0096004F"/>
    <w:rsid w:val="00960D9F"/>
    <w:rsid w:val="00960DD4"/>
    <w:rsid w:val="00961EED"/>
    <w:rsid w:val="009620A8"/>
    <w:rsid w:val="0096355A"/>
    <w:rsid w:val="00971689"/>
    <w:rsid w:val="00972B46"/>
    <w:rsid w:val="00973E90"/>
    <w:rsid w:val="009801C7"/>
    <w:rsid w:val="009819F5"/>
    <w:rsid w:val="0098404B"/>
    <w:rsid w:val="00986E9A"/>
    <w:rsid w:val="009903CE"/>
    <w:rsid w:val="009909FF"/>
    <w:rsid w:val="00992EBD"/>
    <w:rsid w:val="009944AF"/>
    <w:rsid w:val="00997C91"/>
    <w:rsid w:val="009A2F6F"/>
    <w:rsid w:val="009A3328"/>
    <w:rsid w:val="009A5563"/>
    <w:rsid w:val="009B4477"/>
    <w:rsid w:val="009B52E6"/>
    <w:rsid w:val="009B54BF"/>
    <w:rsid w:val="009B56BE"/>
    <w:rsid w:val="009B793A"/>
    <w:rsid w:val="009C25D4"/>
    <w:rsid w:val="009C328D"/>
    <w:rsid w:val="009C42B0"/>
    <w:rsid w:val="009C51E8"/>
    <w:rsid w:val="009D0EA2"/>
    <w:rsid w:val="009D1876"/>
    <w:rsid w:val="009D2037"/>
    <w:rsid w:val="009D32AA"/>
    <w:rsid w:val="009D4126"/>
    <w:rsid w:val="009E0033"/>
    <w:rsid w:val="009E05BC"/>
    <w:rsid w:val="009E1C8F"/>
    <w:rsid w:val="009E2E71"/>
    <w:rsid w:val="009E7108"/>
    <w:rsid w:val="009F2A23"/>
    <w:rsid w:val="009F599B"/>
    <w:rsid w:val="009F5F7B"/>
    <w:rsid w:val="00A04AC7"/>
    <w:rsid w:val="00A06B46"/>
    <w:rsid w:val="00A078E6"/>
    <w:rsid w:val="00A10D15"/>
    <w:rsid w:val="00A23A2A"/>
    <w:rsid w:val="00A23D6B"/>
    <w:rsid w:val="00A26DC4"/>
    <w:rsid w:val="00A30B05"/>
    <w:rsid w:val="00A31BCF"/>
    <w:rsid w:val="00A3246D"/>
    <w:rsid w:val="00A32C83"/>
    <w:rsid w:val="00A34331"/>
    <w:rsid w:val="00A3709D"/>
    <w:rsid w:val="00A37167"/>
    <w:rsid w:val="00A37190"/>
    <w:rsid w:val="00A4198A"/>
    <w:rsid w:val="00A4228E"/>
    <w:rsid w:val="00A42ED7"/>
    <w:rsid w:val="00A47B2E"/>
    <w:rsid w:val="00A5425C"/>
    <w:rsid w:val="00A55362"/>
    <w:rsid w:val="00A60014"/>
    <w:rsid w:val="00A606EE"/>
    <w:rsid w:val="00A608B0"/>
    <w:rsid w:val="00A61859"/>
    <w:rsid w:val="00A63C33"/>
    <w:rsid w:val="00A64C05"/>
    <w:rsid w:val="00A678C3"/>
    <w:rsid w:val="00A6798C"/>
    <w:rsid w:val="00A73D4F"/>
    <w:rsid w:val="00A81DA8"/>
    <w:rsid w:val="00A84F01"/>
    <w:rsid w:val="00A8626B"/>
    <w:rsid w:val="00A8629C"/>
    <w:rsid w:val="00A9084E"/>
    <w:rsid w:val="00A92D8F"/>
    <w:rsid w:val="00A92E30"/>
    <w:rsid w:val="00A93153"/>
    <w:rsid w:val="00A94D9A"/>
    <w:rsid w:val="00AA0172"/>
    <w:rsid w:val="00AA156A"/>
    <w:rsid w:val="00AA2240"/>
    <w:rsid w:val="00AA2B1B"/>
    <w:rsid w:val="00AA3581"/>
    <w:rsid w:val="00AA49E1"/>
    <w:rsid w:val="00AA7AA6"/>
    <w:rsid w:val="00AB0B24"/>
    <w:rsid w:val="00AB1346"/>
    <w:rsid w:val="00AB2BF9"/>
    <w:rsid w:val="00AB337B"/>
    <w:rsid w:val="00AB388A"/>
    <w:rsid w:val="00AB4F1B"/>
    <w:rsid w:val="00AB5FF4"/>
    <w:rsid w:val="00AC1C5D"/>
    <w:rsid w:val="00AC3B68"/>
    <w:rsid w:val="00AC4194"/>
    <w:rsid w:val="00AC7687"/>
    <w:rsid w:val="00AD0BFA"/>
    <w:rsid w:val="00AD0FDD"/>
    <w:rsid w:val="00AD3292"/>
    <w:rsid w:val="00AD5A69"/>
    <w:rsid w:val="00AD7750"/>
    <w:rsid w:val="00AE014B"/>
    <w:rsid w:val="00AE1444"/>
    <w:rsid w:val="00AE3794"/>
    <w:rsid w:val="00AE38CC"/>
    <w:rsid w:val="00AE46F0"/>
    <w:rsid w:val="00AE49B3"/>
    <w:rsid w:val="00AE55EA"/>
    <w:rsid w:val="00AE6542"/>
    <w:rsid w:val="00AE74FC"/>
    <w:rsid w:val="00AF0177"/>
    <w:rsid w:val="00AF032F"/>
    <w:rsid w:val="00AF2640"/>
    <w:rsid w:val="00AF40B5"/>
    <w:rsid w:val="00B01234"/>
    <w:rsid w:val="00B02DF8"/>
    <w:rsid w:val="00B05762"/>
    <w:rsid w:val="00B0637E"/>
    <w:rsid w:val="00B100EC"/>
    <w:rsid w:val="00B15301"/>
    <w:rsid w:val="00B16D6B"/>
    <w:rsid w:val="00B212E1"/>
    <w:rsid w:val="00B2297E"/>
    <w:rsid w:val="00B235E6"/>
    <w:rsid w:val="00B27825"/>
    <w:rsid w:val="00B30994"/>
    <w:rsid w:val="00B30EAA"/>
    <w:rsid w:val="00B31BEA"/>
    <w:rsid w:val="00B3357C"/>
    <w:rsid w:val="00B337ED"/>
    <w:rsid w:val="00B3515F"/>
    <w:rsid w:val="00B37D2A"/>
    <w:rsid w:val="00B4000A"/>
    <w:rsid w:val="00B41AA7"/>
    <w:rsid w:val="00B44214"/>
    <w:rsid w:val="00B44D64"/>
    <w:rsid w:val="00B45386"/>
    <w:rsid w:val="00B45C25"/>
    <w:rsid w:val="00B46648"/>
    <w:rsid w:val="00B4717C"/>
    <w:rsid w:val="00B47316"/>
    <w:rsid w:val="00B55F24"/>
    <w:rsid w:val="00B57D77"/>
    <w:rsid w:val="00B60663"/>
    <w:rsid w:val="00B60F83"/>
    <w:rsid w:val="00B632CC"/>
    <w:rsid w:val="00B63D1B"/>
    <w:rsid w:val="00B63FA3"/>
    <w:rsid w:val="00B65B75"/>
    <w:rsid w:val="00B660C0"/>
    <w:rsid w:val="00B66A70"/>
    <w:rsid w:val="00B67A70"/>
    <w:rsid w:val="00B71C13"/>
    <w:rsid w:val="00B72A75"/>
    <w:rsid w:val="00B73485"/>
    <w:rsid w:val="00B75075"/>
    <w:rsid w:val="00B77449"/>
    <w:rsid w:val="00B7791E"/>
    <w:rsid w:val="00B803BD"/>
    <w:rsid w:val="00B8120C"/>
    <w:rsid w:val="00B82C7A"/>
    <w:rsid w:val="00B82CF4"/>
    <w:rsid w:val="00B8338F"/>
    <w:rsid w:val="00B86254"/>
    <w:rsid w:val="00B900B6"/>
    <w:rsid w:val="00B91C4A"/>
    <w:rsid w:val="00B93A35"/>
    <w:rsid w:val="00B977B9"/>
    <w:rsid w:val="00BA1630"/>
    <w:rsid w:val="00BA63CA"/>
    <w:rsid w:val="00BA6532"/>
    <w:rsid w:val="00BA7105"/>
    <w:rsid w:val="00BB2CD9"/>
    <w:rsid w:val="00BC26D1"/>
    <w:rsid w:val="00BC787C"/>
    <w:rsid w:val="00BD1985"/>
    <w:rsid w:val="00BD327F"/>
    <w:rsid w:val="00BD3B13"/>
    <w:rsid w:val="00BD6170"/>
    <w:rsid w:val="00BD6B59"/>
    <w:rsid w:val="00BE044E"/>
    <w:rsid w:val="00BE241B"/>
    <w:rsid w:val="00BE2ECF"/>
    <w:rsid w:val="00BF1972"/>
    <w:rsid w:val="00BF245F"/>
    <w:rsid w:val="00BF25CE"/>
    <w:rsid w:val="00BF32AE"/>
    <w:rsid w:val="00BF4DBD"/>
    <w:rsid w:val="00C012A7"/>
    <w:rsid w:val="00C02FD0"/>
    <w:rsid w:val="00C03A00"/>
    <w:rsid w:val="00C03A6B"/>
    <w:rsid w:val="00C042C9"/>
    <w:rsid w:val="00C11B25"/>
    <w:rsid w:val="00C16E26"/>
    <w:rsid w:val="00C21B03"/>
    <w:rsid w:val="00C2459C"/>
    <w:rsid w:val="00C261DB"/>
    <w:rsid w:val="00C27659"/>
    <w:rsid w:val="00C33EFE"/>
    <w:rsid w:val="00C4452F"/>
    <w:rsid w:val="00C450E6"/>
    <w:rsid w:val="00C455C4"/>
    <w:rsid w:val="00C46292"/>
    <w:rsid w:val="00C46727"/>
    <w:rsid w:val="00C467E0"/>
    <w:rsid w:val="00C46F79"/>
    <w:rsid w:val="00C47AB4"/>
    <w:rsid w:val="00C47E79"/>
    <w:rsid w:val="00C5121E"/>
    <w:rsid w:val="00C6476B"/>
    <w:rsid w:val="00C65694"/>
    <w:rsid w:val="00C66A80"/>
    <w:rsid w:val="00C67600"/>
    <w:rsid w:val="00C721CD"/>
    <w:rsid w:val="00C752AC"/>
    <w:rsid w:val="00C83FD1"/>
    <w:rsid w:val="00C92055"/>
    <w:rsid w:val="00C9265D"/>
    <w:rsid w:val="00C95F35"/>
    <w:rsid w:val="00C971A6"/>
    <w:rsid w:val="00C97AC8"/>
    <w:rsid w:val="00CA3F64"/>
    <w:rsid w:val="00CB004F"/>
    <w:rsid w:val="00CB26E6"/>
    <w:rsid w:val="00CB49D8"/>
    <w:rsid w:val="00CC34D4"/>
    <w:rsid w:val="00CC71D4"/>
    <w:rsid w:val="00CD0D98"/>
    <w:rsid w:val="00CD4F94"/>
    <w:rsid w:val="00CD5190"/>
    <w:rsid w:val="00CD6AB9"/>
    <w:rsid w:val="00CD6C9F"/>
    <w:rsid w:val="00CE12C2"/>
    <w:rsid w:val="00CE2674"/>
    <w:rsid w:val="00CE2C39"/>
    <w:rsid w:val="00CE330F"/>
    <w:rsid w:val="00CE43E4"/>
    <w:rsid w:val="00CE6D34"/>
    <w:rsid w:val="00CF1260"/>
    <w:rsid w:val="00CF3B28"/>
    <w:rsid w:val="00CF560F"/>
    <w:rsid w:val="00D010E7"/>
    <w:rsid w:val="00D01524"/>
    <w:rsid w:val="00D01CA1"/>
    <w:rsid w:val="00D03317"/>
    <w:rsid w:val="00D04FEF"/>
    <w:rsid w:val="00D12C9E"/>
    <w:rsid w:val="00D137BF"/>
    <w:rsid w:val="00D1416A"/>
    <w:rsid w:val="00D15FB1"/>
    <w:rsid w:val="00D17637"/>
    <w:rsid w:val="00D20AA2"/>
    <w:rsid w:val="00D22FF6"/>
    <w:rsid w:val="00D251A4"/>
    <w:rsid w:val="00D278D6"/>
    <w:rsid w:val="00D33351"/>
    <w:rsid w:val="00D350B1"/>
    <w:rsid w:val="00D37F13"/>
    <w:rsid w:val="00D41FA1"/>
    <w:rsid w:val="00D45290"/>
    <w:rsid w:val="00D45292"/>
    <w:rsid w:val="00D45CCA"/>
    <w:rsid w:val="00D46952"/>
    <w:rsid w:val="00D46B41"/>
    <w:rsid w:val="00D55620"/>
    <w:rsid w:val="00D56026"/>
    <w:rsid w:val="00D60B57"/>
    <w:rsid w:val="00D62D3D"/>
    <w:rsid w:val="00D66622"/>
    <w:rsid w:val="00D67611"/>
    <w:rsid w:val="00D72E15"/>
    <w:rsid w:val="00D733FA"/>
    <w:rsid w:val="00D801C0"/>
    <w:rsid w:val="00D813E4"/>
    <w:rsid w:val="00D86098"/>
    <w:rsid w:val="00D86B33"/>
    <w:rsid w:val="00D91EC7"/>
    <w:rsid w:val="00D94333"/>
    <w:rsid w:val="00D943B5"/>
    <w:rsid w:val="00D94B0F"/>
    <w:rsid w:val="00DA1BA0"/>
    <w:rsid w:val="00DA6B7D"/>
    <w:rsid w:val="00DA6FE1"/>
    <w:rsid w:val="00DA70E8"/>
    <w:rsid w:val="00DA79F5"/>
    <w:rsid w:val="00DB0B60"/>
    <w:rsid w:val="00DB24F7"/>
    <w:rsid w:val="00DB4F1A"/>
    <w:rsid w:val="00DB5100"/>
    <w:rsid w:val="00DB5DCF"/>
    <w:rsid w:val="00DB7C13"/>
    <w:rsid w:val="00DC2C72"/>
    <w:rsid w:val="00DC3472"/>
    <w:rsid w:val="00DC567D"/>
    <w:rsid w:val="00DC57F8"/>
    <w:rsid w:val="00DC7D6C"/>
    <w:rsid w:val="00DD1E73"/>
    <w:rsid w:val="00DD3EBA"/>
    <w:rsid w:val="00DD3F15"/>
    <w:rsid w:val="00DD67D2"/>
    <w:rsid w:val="00DD6D60"/>
    <w:rsid w:val="00DD6FA8"/>
    <w:rsid w:val="00DE00A4"/>
    <w:rsid w:val="00DE11D4"/>
    <w:rsid w:val="00DE1212"/>
    <w:rsid w:val="00DE4423"/>
    <w:rsid w:val="00DE66B9"/>
    <w:rsid w:val="00DF16E6"/>
    <w:rsid w:val="00DF37CF"/>
    <w:rsid w:val="00DF49FF"/>
    <w:rsid w:val="00DF6ADF"/>
    <w:rsid w:val="00E00A30"/>
    <w:rsid w:val="00E01BBB"/>
    <w:rsid w:val="00E01D7E"/>
    <w:rsid w:val="00E01F42"/>
    <w:rsid w:val="00E030EE"/>
    <w:rsid w:val="00E10CDB"/>
    <w:rsid w:val="00E14BC6"/>
    <w:rsid w:val="00E20E9E"/>
    <w:rsid w:val="00E22F02"/>
    <w:rsid w:val="00E272E6"/>
    <w:rsid w:val="00E336CD"/>
    <w:rsid w:val="00E33B70"/>
    <w:rsid w:val="00E47237"/>
    <w:rsid w:val="00E54B7E"/>
    <w:rsid w:val="00E60371"/>
    <w:rsid w:val="00E635EE"/>
    <w:rsid w:val="00E65228"/>
    <w:rsid w:val="00E6562D"/>
    <w:rsid w:val="00E701A9"/>
    <w:rsid w:val="00E70925"/>
    <w:rsid w:val="00E70FFE"/>
    <w:rsid w:val="00E731BC"/>
    <w:rsid w:val="00E759F2"/>
    <w:rsid w:val="00E75A23"/>
    <w:rsid w:val="00E822AF"/>
    <w:rsid w:val="00E86152"/>
    <w:rsid w:val="00E877E7"/>
    <w:rsid w:val="00E91353"/>
    <w:rsid w:val="00E93FDC"/>
    <w:rsid w:val="00EA061D"/>
    <w:rsid w:val="00EA0826"/>
    <w:rsid w:val="00EA0DB1"/>
    <w:rsid w:val="00EA0F26"/>
    <w:rsid w:val="00EB15A2"/>
    <w:rsid w:val="00EB265F"/>
    <w:rsid w:val="00EB304B"/>
    <w:rsid w:val="00EB3C89"/>
    <w:rsid w:val="00EB427B"/>
    <w:rsid w:val="00EB4994"/>
    <w:rsid w:val="00EB53E6"/>
    <w:rsid w:val="00EB57FB"/>
    <w:rsid w:val="00EB7167"/>
    <w:rsid w:val="00EC0663"/>
    <w:rsid w:val="00EC4425"/>
    <w:rsid w:val="00EC62AE"/>
    <w:rsid w:val="00ED009B"/>
    <w:rsid w:val="00ED09CC"/>
    <w:rsid w:val="00ED0FFA"/>
    <w:rsid w:val="00ED1B88"/>
    <w:rsid w:val="00ED3EB3"/>
    <w:rsid w:val="00ED6262"/>
    <w:rsid w:val="00ED6351"/>
    <w:rsid w:val="00ED713C"/>
    <w:rsid w:val="00EE023D"/>
    <w:rsid w:val="00EE0520"/>
    <w:rsid w:val="00EE0946"/>
    <w:rsid w:val="00EE1222"/>
    <w:rsid w:val="00EE3DF9"/>
    <w:rsid w:val="00EE59E9"/>
    <w:rsid w:val="00EE5EB0"/>
    <w:rsid w:val="00EE6132"/>
    <w:rsid w:val="00EF04B0"/>
    <w:rsid w:val="00EF114B"/>
    <w:rsid w:val="00EF18C4"/>
    <w:rsid w:val="00EF2CC4"/>
    <w:rsid w:val="00EF3D84"/>
    <w:rsid w:val="00F003CE"/>
    <w:rsid w:val="00F00668"/>
    <w:rsid w:val="00F00AF1"/>
    <w:rsid w:val="00F0229D"/>
    <w:rsid w:val="00F030E6"/>
    <w:rsid w:val="00F10449"/>
    <w:rsid w:val="00F11EF3"/>
    <w:rsid w:val="00F125F3"/>
    <w:rsid w:val="00F145E6"/>
    <w:rsid w:val="00F14768"/>
    <w:rsid w:val="00F15472"/>
    <w:rsid w:val="00F1617C"/>
    <w:rsid w:val="00F1783F"/>
    <w:rsid w:val="00F2070F"/>
    <w:rsid w:val="00F215CF"/>
    <w:rsid w:val="00F24A4D"/>
    <w:rsid w:val="00F26AD1"/>
    <w:rsid w:val="00F3361E"/>
    <w:rsid w:val="00F42FAE"/>
    <w:rsid w:val="00F4367A"/>
    <w:rsid w:val="00F4518B"/>
    <w:rsid w:val="00F46606"/>
    <w:rsid w:val="00F46AC5"/>
    <w:rsid w:val="00F470E8"/>
    <w:rsid w:val="00F509AE"/>
    <w:rsid w:val="00F53563"/>
    <w:rsid w:val="00F57340"/>
    <w:rsid w:val="00F57BB8"/>
    <w:rsid w:val="00F64494"/>
    <w:rsid w:val="00F65C47"/>
    <w:rsid w:val="00F66EF9"/>
    <w:rsid w:val="00F707E0"/>
    <w:rsid w:val="00F7446C"/>
    <w:rsid w:val="00F7463F"/>
    <w:rsid w:val="00F7606D"/>
    <w:rsid w:val="00F82186"/>
    <w:rsid w:val="00F85D82"/>
    <w:rsid w:val="00F86E8C"/>
    <w:rsid w:val="00F92097"/>
    <w:rsid w:val="00F92502"/>
    <w:rsid w:val="00FA171A"/>
    <w:rsid w:val="00FA1B1C"/>
    <w:rsid w:val="00FA21D3"/>
    <w:rsid w:val="00FA46F3"/>
    <w:rsid w:val="00FA624C"/>
    <w:rsid w:val="00FA6709"/>
    <w:rsid w:val="00FA6C09"/>
    <w:rsid w:val="00FB1E37"/>
    <w:rsid w:val="00FB1EDF"/>
    <w:rsid w:val="00FB7745"/>
    <w:rsid w:val="00FB7AF8"/>
    <w:rsid w:val="00FC2328"/>
    <w:rsid w:val="00FC32FF"/>
    <w:rsid w:val="00FC4099"/>
    <w:rsid w:val="00FC498E"/>
    <w:rsid w:val="00FC604A"/>
    <w:rsid w:val="00FC6395"/>
    <w:rsid w:val="00FC7D1E"/>
    <w:rsid w:val="00FD4DA8"/>
    <w:rsid w:val="00FD4E7A"/>
    <w:rsid w:val="00FE4775"/>
    <w:rsid w:val="00FE5C42"/>
    <w:rsid w:val="00FE63F5"/>
    <w:rsid w:val="00FF2CD6"/>
    <w:rsid w:val="00FF5707"/>
    <w:rsid w:val="00FF5D6C"/>
    <w:rsid w:val="00FF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CharChar1CharCharCharCharCharCharChar">
    <w:name w:val="Char Char1 Char Char Char Char Char Char Char"/>
    <w:basedOn w:val="Normal"/>
    <w:rsid w:val="00C02FD0"/>
    <w:pPr>
      <w:spacing w:after="160" w:line="240" w:lineRule="exact"/>
    </w:pPr>
    <w:rPr>
      <w:rFonts w:ascii="Verdana" w:hAnsi="Verdana"/>
      <w:lang w:val="en-US"/>
    </w:rPr>
  </w:style>
  <w:style w:type="paragraph" w:styleId="ListParagraph">
    <w:name w:val="List Paragraph"/>
    <w:basedOn w:val="Normal"/>
    <w:link w:val="ListParagraphChar"/>
    <w:uiPriority w:val="34"/>
    <w:qFormat/>
    <w:rsid w:val="00FB1EDF"/>
    <w:pPr>
      <w:ind w:left="720"/>
      <w:contextualSpacing/>
    </w:pPr>
    <w:rPr>
      <w:rFonts w:eastAsia="Calibri" w:cs="Arial"/>
    </w:rPr>
  </w:style>
  <w:style w:type="character" w:customStyle="1" w:styleId="colourdingbat">
    <w:name w:val="colour dingbat"/>
    <w:rsid w:val="00ED6351"/>
    <w:rPr>
      <w:rFonts w:ascii="Zapf Dingbats" w:hAnsi="Zapf Dingbats"/>
      <w:color w:val="auto"/>
      <w:sz w:val="16"/>
    </w:rPr>
  </w:style>
  <w:style w:type="paragraph" w:customStyle="1" w:styleId="Default">
    <w:name w:val="Default"/>
    <w:rsid w:val="00ED635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47316"/>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20C7"/>
    <w:rPr>
      <w:rFonts w:eastAsia="Calibri"/>
      <w:szCs w:val="21"/>
    </w:rPr>
  </w:style>
  <w:style w:type="character" w:customStyle="1" w:styleId="PlainTextChar">
    <w:name w:val="Plain Text Char"/>
    <w:link w:val="PlainText"/>
    <w:uiPriority w:val="99"/>
    <w:rsid w:val="003720C7"/>
    <w:rPr>
      <w:rFonts w:ascii="Arial" w:eastAsia="Calibri" w:hAnsi="Arial"/>
      <w:sz w:val="24"/>
      <w:szCs w:val="21"/>
      <w:lang w:eastAsia="en-US"/>
    </w:rPr>
  </w:style>
  <w:style w:type="character" w:styleId="FollowedHyperlink">
    <w:name w:val="FollowedHyperlink"/>
    <w:rsid w:val="006F12A1"/>
    <w:rPr>
      <w:color w:val="800080"/>
      <w:u w:val="single"/>
    </w:rPr>
  </w:style>
  <w:style w:type="paragraph" w:styleId="EndnoteText">
    <w:name w:val="endnote text"/>
    <w:basedOn w:val="Normal"/>
    <w:link w:val="EndnoteTextChar"/>
    <w:rsid w:val="00490063"/>
    <w:rPr>
      <w:sz w:val="20"/>
      <w:szCs w:val="20"/>
    </w:rPr>
  </w:style>
  <w:style w:type="character" w:customStyle="1" w:styleId="EndnoteTextChar">
    <w:name w:val="Endnote Text Char"/>
    <w:link w:val="EndnoteText"/>
    <w:rsid w:val="00490063"/>
    <w:rPr>
      <w:rFonts w:ascii="Arial" w:hAnsi="Arial"/>
      <w:lang w:eastAsia="en-US"/>
    </w:rPr>
  </w:style>
  <w:style w:type="character" w:styleId="EndnoteReference">
    <w:name w:val="endnote reference"/>
    <w:rsid w:val="00490063"/>
    <w:rPr>
      <w:vertAlign w:val="superscript"/>
    </w:rPr>
  </w:style>
  <w:style w:type="paragraph" w:styleId="FootnoteText">
    <w:name w:val="footnote text"/>
    <w:basedOn w:val="Normal"/>
    <w:link w:val="FootnoteTextChar"/>
    <w:rsid w:val="00490063"/>
    <w:rPr>
      <w:sz w:val="20"/>
      <w:szCs w:val="20"/>
    </w:rPr>
  </w:style>
  <w:style w:type="character" w:customStyle="1" w:styleId="FootnoteTextChar">
    <w:name w:val="Footnote Text Char"/>
    <w:link w:val="FootnoteText"/>
    <w:rsid w:val="00490063"/>
    <w:rPr>
      <w:rFonts w:ascii="Arial" w:hAnsi="Arial"/>
      <w:lang w:eastAsia="en-US"/>
    </w:rPr>
  </w:style>
  <w:style w:type="character" w:styleId="FootnoteReference">
    <w:name w:val="footnote reference"/>
    <w:rsid w:val="00490063"/>
    <w:rPr>
      <w:vertAlign w:val="superscript"/>
    </w:rPr>
  </w:style>
  <w:style w:type="character" w:styleId="Strong">
    <w:name w:val="Strong"/>
    <w:uiPriority w:val="22"/>
    <w:qFormat/>
    <w:rsid w:val="00490063"/>
    <w:rPr>
      <w:b/>
      <w:bCs/>
    </w:rPr>
  </w:style>
  <w:style w:type="character" w:customStyle="1" w:styleId="FooterChar">
    <w:name w:val="Footer Char"/>
    <w:link w:val="Footer"/>
    <w:uiPriority w:val="99"/>
    <w:rsid w:val="00452F0B"/>
    <w:rPr>
      <w:rFonts w:ascii="Arial" w:hAnsi="Arial"/>
      <w:sz w:val="24"/>
      <w:szCs w:val="24"/>
      <w:lang w:eastAsia="en-US"/>
    </w:rPr>
  </w:style>
  <w:style w:type="character" w:customStyle="1" w:styleId="CommentTextChar">
    <w:name w:val="Comment Text Char"/>
    <w:link w:val="CommentText"/>
    <w:semiHidden/>
    <w:rsid w:val="00E14BC6"/>
    <w:rPr>
      <w:rFonts w:ascii="Arial" w:hAnsi="Arial"/>
      <w:lang w:eastAsia="en-US"/>
    </w:rPr>
  </w:style>
  <w:style w:type="paragraph" w:styleId="HTMLPreformatted">
    <w:name w:val="HTML Preformatted"/>
    <w:basedOn w:val="Normal"/>
    <w:link w:val="HTMLPreformattedChar"/>
    <w:uiPriority w:val="99"/>
    <w:unhideWhenUsed/>
    <w:rsid w:val="00791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link w:val="HTMLPreformatted"/>
    <w:uiPriority w:val="99"/>
    <w:rsid w:val="00791345"/>
    <w:rPr>
      <w:rFonts w:ascii="Courier New" w:eastAsia="Calibri" w:hAnsi="Courier New" w:cs="Courier New"/>
    </w:rPr>
  </w:style>
  <w:style w:type="numbering" w:customStyle="1" w:styleId="StyleNumberedLeft0cmHanging075cm">
    <w:name w:val="Style Numbered Left:  0 cm Hanging:  0.75 cm"/>
    <w:basedOn w:val="NoList"/>
    <w:rsid w:val="008D34F9"/>
    <w:pPr>
      <w:numPr>
        <w:numId w:val="1"/>
      </w:numPr>
    </w:pPr>
  </w:style>
  <w:style w:type="paragraph" w:customStyle="1" w:styleId="bParagraphtext">
    <w:name w:val="bParagraph text"/>
    <w:basedOn w:val="ListParagraph"/>
    <w:link w:val="bParagraphtextChar"/>
    <w:qFormat/>
    <w:rsid w:val="008D34F9"/>
    <w:pPr>
      <w:tabs>
        <w:tab w:val="left" w:pos="426"/>
      </w:tabs>
      <w:spacing w:after="120"/>
      <w:ind w:left="360" w:hanging="360"/>
      <w:contextualSpacing w:val="0"/>
    </w:pPr>
    <w:rPr>
      <w:rFonts w:eastAsia="Times New Roman" w:cs="Times New Roman"/>
      <w:color w:val="000000"/>
      <w:lang w:eastAsia="en-GB"/>
    </w:rPr>
  </w:style>
  <w:style w:type="character" w:customStyle="1" w:styleId="ListParagraphChar">
    <w:name w:val="List Paragraph Char"/>
    <w:link w:val="ListParagraph"/>
    <w:uiPriority w:val="34"/>
    <w:rsid w:val="008D34F9"/>
    <w:rPr>
      <w:rFonts w:ascii="Arial" w:eastAsia="Calibri" w:hAnsi="Arial" w:cs="Arial"/>
      <w:sz w:val="24"/>
      <w:szCs w:val="24"/>
      <w:lang w:eastAsia="en-US"/>
    </w:rPr>
  </w:style>
  <w:style w:type="character" w:customStyle="1" w:styleId="bParagraphtextChar">
    <w:name w:val="bParagraph text Char"/>
    <w:link w:val="bParagraphtext"/>
    <w:rsid w:val="008D34F9"/>
    <w:rPr>
      <w:rFonts w:ascii="Arial" w:hAnsi="Arial"/>
      <w:color w:val="000000"/>
      <w:sz w:val="24"/>
      <w:szCs w:val="24"/>
    </w:rPr>
  </w:style>
  <w:style w:type="paragraph" w:styleId="NoSpacing">
    <w:name w:val="No Spacing"/>
    <w:uiPriority w:val="1"/>
    <w:rsid w:val="00297D23"/>
    <w:pPr>
      <w:spacing w:after="120"/>
    </w:pPr>
    <w:rPr>
      <w:rFonts w:ascii="Arial" w:hAnsi="Arial"/>
      <w:color w:val="000000"/>
      <w:sz w:val="24"/>
      <w:szCs w:val="24"/>
      <w:lang w:eastAsia="en-US"/>
    </w:rPr>
  </w:style>
  <w:style w:type="character" w:customStyle="1" w:styleId="Firstpagetablebold">
    <w:name w:val="First page table: bold"/>
    <w:qFormat/>
    <w:rsid w:val="007005E3"/>
    <w:rPr>
      <w:rFonts w:ascii="Arial" w:hAnsi="Arial"/>
      <w:b/>
      <w:sz w:val="24"/>
    </w:rPr>
  </w:style>
  <w:style w:type="character" w:customStyle="1" w:styleId="HeaderChar">
    <w:name w:val="Header Char"/>
    <w:basedOn w:val="DefaultParagraphFont"/>
    <w:link w:val="Header"/>
    <w:rsid w:val="00F92097"/>
    <w:rPr>
      <w:rFonts w:ascii="Arial" w:hAnsi="Arial"/>
      <w:sz w:val="24"/>
      <w:szCs w:val="24"/>
      <w:lang w:eastAsia="en-US"/>
    </w:rPr>
  </w:style>
  <w:style w:type="paragraph" w:customStyle="1" w:styleId="Normal2">
    <w:name w:val="Normal+2"/>
    <w:basedOn w:val="Normal"/>
    <w:next w:val="Normal"/>
    <w:rsid w:val="00F92097"/>
    <w:pPr>
      <w:autoSpaceDE w:val="0"/>
      <w:autoSpaceDN w:val="0"/>
      <w:adjustRightInd w:val="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CharChar1CharCharCharCharCharCharChar">
    <w:name w:val="Char Char1 Char Char Char Char Char Char Char"/>
    <w:basedOn w:val="Normal"/>
    <w:rsid w:val="00C02FD0"/>
    <w:pPr>
      <w:spacing w:after="160" w:line="240" w:lineRule="exact"/>
    </w:pPr>
    <w:rPr>
      <w:rFonts w:ascii="Verdana" w:hAnsi="Verdana"/>
      <w:lang w:val="en-US"/>
    </w:rPr>
  </w:style>
  <w:style w:type="paragraph" w:styleId="ListParagraph">
    <w:name w:val="List Paragraph"/>
    <w:basedOn w:val="Normal"/>
    <w:link w:val="ListParagraphChar"/>
    <w:uiPriority w:val="34"/>
    <w:qFormat/>
    <w:rsid w:val="00FB1EDF"/>
    <w:pPr>
      <w:ind w:left="720"/>
      <w:contextualSpacing/>
    </w:pPr>
    <w:rPr>
      <w:rFonts w:eastAsia="Calibri" w:cs="Arial"/>
    </w:rPr>
  </w:style>
  <w:style w:type="character" w:customStyle="1" w:styleId="colourdingbat">
    <w:name w:val="colour dingbat"/>
    <w:rsid w:val="00ED6351"/>
    <w:rPr>
      <w:rFonts w:ascii="Zapf Dingbats" w:hAnsi="Zapf Dingbats"/>
      <w:color w:val="auto"/>
      <w:sz w:val="16"/>
    </w:rPr>
  </w:style>
  <w:style w:type="paragraph" w:customStyle="1" w:styleId="Default">
    <w:name w:val="Default"/>
    <w:rsid w:val="00ED635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47316"/>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20C7"/>
    <w:rPr>
      <w:rFonts w:eastAsia="Calibri"/>
      <w:szCs w:val="21"/>
    </w:rPr>
  </w:style>
  <w:style w:type="character" w:customStyle="1" w:styleId="PlainTextChar">
    <w:name w:val="Plain Text Char"/>
    <w:link w:val="PlainText"/>
    <w:uiPriority w:val="99"/>
    <w:rsid w:val="003720C7"/>
    <w:rPr>
      <w:rFonts w:ascii="Arial" w:eastAsia="Calibri" w:hAnsi="Arial"/>
      <w:sz w:val="24"/>
      <w:szCs w:val="21"/>
      <w:lang w:eastAsia="en-US"/>
    </w:rPr>
  </w:style>
  <w:style w:type="character" w:styleId="FollowedHyperlink">
    <w:name w:val="FollowedHyperlink"/>
    <w:rsid w:val="006F12A1"/>
    <w:rPr>
      <w:color w:val="800080"/>
      <w:u w:val="single"/>
    </w:rPr>
  </w:style>
  <w:style w:type="paragraph" w:styleId="EndnoteText">
    <w:name w:val="endnote text"/>
    <w:basedOn w:val="Normal"/>
    <w:link w:val="EndnoteTextChar"/>
    <w:rsid w:val="00490063"/>
    <w:rPr>
      <w:sz w:val="20"/>
      <w:szCs w:val="20"/>
    </w:rPr>
  </w:style>
  <w:style w:type="character" w:customStyle="1" w:styleId="EndnoteTextChar">
    <w:name w:val="Endnote Text Char"/>
    <w:link w:val="EndnoteText"/>
    <w:rsid w:val="00490063"/>
    <w:rPr>
      <w:rFonts w:ascii="Arial" w:hAnsi="Arial"/>
      <w:lang w:eastAsia="en-US"/>
    </w:rPr>
  </w:style>
  <w:style w:type="character" w:styleId="EndnoteReference">
    <w:name w:val="endnote reference"/>
    <w:rsid w:val="00490063"/>
    <w:rPr>
      <w:vertAlign w:val="superscript"/>
    </w:rPr>
  </w:style>
  <w:style w:type="paragraph" w:styleId="FootnoteText">
    <w:name w:val="footnote text"/>
    <w:basedOn w:val="Normal"/>
    <w:link w:val="FootnoteTextChar"/>
    <w:rsid w:val="00490063"/>
    <w:rPr>
      <w:sz w:val="20"/>
      <w:szCs w:val="20"/>
    </w:rPr>
  </w:style>
  <w:style w:type="character" w:customStyle="1" w:styleId="FootnoteTextChar">
    <w:name w:val="Footnote Text Char"/>
    <w:link w:val="FootnoteText"/>
    <w:rsid w:val="00490063"/>
    <w:rPr>
      <w:rFonts w:ascii="Arial" w:hAnsi="Arial"/>
      <w:lang w:eastAsia="en-US"/>
    </w:rPr>
  </w:style>
  <w:style w:type="character" w:styleId="FootnoteReference">
    <w:name w:val="footnote reference"/>
    <w:rsid w:val="00490063"/>
    <w:rPr>
      <w:vertAlign w:val="superscript"/>
    </w:rPr>
  </w:style>
  <w:style w:type="character" w:styleId="Strong">
    <w:name w:val="Strong"/>
    <w:uiPriority w:val="22"/>
    <w:qFormat/>
    <w:rsid w:val="00490063"/>
    <w:rPr>
      <w:b/>
      <w:bCs/>
    </w:rPr>
  </w:style>
  <w:style w:type="character" w:customStyle="1" w:styleId="FooterChar">
    <w:name w:val="Footer Char"/>
    <w:link w:val="Footer"/>
    <w:uiPriority w:val="99"/>
    <w:rsid w:val="00452F0B"/>
    <w:rPr>
      <w:rFonts w:ascii="Arial" w:hAnsi="Arial"/>
      <w:sz w:val="24"/>
      <w:szCs w:val="24"/>
      <w:lang w:eastAsia="en-US"/>
    </w:rPr>
  </w:style>
  <w:style w:type="character" w:customStyle="1" w:styleId="CommentTextChar">
    <w:name w:val="Comment Text Char"/>
    <w:link w:val="CommentText"/>
    <w:semiHidden/>
    <w:rsid w:val="00E14BC6"/>
    <w:rPr>
      <w:rFonts w:ascii="Arial" w:hAnsi="Arial"/>
      <w:lang w:eastAsia="en-US"/>
    </w:rPr>
  </w:style>
  <w:style w:type="paragraph" w:styleId="HTMLPreformatted">
    <w:name w:val="HTML Preformatted"/>
    <w:basedOn w:val="Normal"/>
    <w:link w:val="HTMLPreformattedChar"/>
    <w:uiPriority w:val="99"/>
    <w:unhideWhenUsed/>
    <w:rsid w:val="00791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link w:val="HTMLPreformatted"/>
    <w:uiPriority w:val="99"/>
    <w:rsid w:val="00791345"/>
    <w:rPr>
      <w:rFonts w:ascii="Courier New" w:eastAsia="Calibri" w:hAnsi="Courier New" w:cs="Courier New"/>
    </w:rPr>
  </w:style>
  <w:style w:type="numbering" w:customStyle="1" w:styleId="StyleNumberedLeft0cmHanging075cm">
    <w:name w:val="Style Numbered Left:  0 cm Hanging:  0.75 cm"/>
    <w:basedOn w:val="NoList"/>
    <w:rsid w:val="008D34F9"/>
    <w:pPr>
      <w:numPr>
        <w:numId w:val="1"/>
      </w:numPr>
    </w:pPr>
  </w:style>
  <w:style w:type="paragraph" w:customStyle="1" w:styleId="bParagraphtext">
    <w:name w:val="bParagraph text"/>
    <w:basedOn w:val="ListParagraph"/>
    <w:link w:val="bParagraphtextChar"/>
    <w:qFormat/>
    <w:rsid w:val="008D34F9"/>
    <w:pPr>
      <w:tabs>
        <w:tab w:val="left" w:pos="426"/>
      </w:tabs>
      <w:spacing w:after="120"/>
      <w:ind w:left="360" w:hanging="360"/>
      <w:contextualSpacing w:val="0"/>
    </w:pPr>
    <w:rPr>
      <w:rFonts w:eastAsia="Times New Roman" w:cs="Times New Roman"/>
      <w:color w:val="000000"/>
      <w:lang w:eastAsia="en-GB"/>
    </w:rPr>
  </w:style>
  <w:style w:type="character" w:customStyle="1" w:styleId="ListParagraphChar">
    <w:name w:val="List Paragraph Char"/>
    <w:link w:val="ListParagraph"/>
    <w:uiPriority w:val="34"/>
    <w:rsid w:val="008D34F9"/>
    <w:rPr>
      <w:rFonts w:ascii="Arial" w:eastAsia="Calibri" w:hAnsi="Arial" w:cs="Arial"/>
      <w:sz w:val="24"/>
      <w:szCs w:val="24"/>
      <w:lang w:eastAsia="en-US"/>
    </w:rPr>
  </w:style>
  <w:style w:type="character" w:customStyle="1" w:styleId="bParagraphtextChar">
    <w:name w:val="bParagraph text Char"/>
    <w:link w:val="bParagraphtext"/>
    <w:rsid w:val="008D34F9"/>
    <w:rPr>
      <w:rFonts w:ascii="Arial" w:hAnsi="Arial"/>
      <w:color w:val="000000"/>
      <w:sz w:val="24"/>
      <w:szCs w:val="24"/>
    </w:rPr>
  </w:style>
  <w:style w:type="paragraph" w:styleId="NoSpacing">
    <w:name w:val="No Spacing"/>
    <w:uiPriority w:val="1"/>
    <w:rsid w:val="00297D23"/>
    <w:pPr>
      <w:spacing w:after="120"/>
    </w:pPr>
    <w:rPr>
      <w:rFonts w:ascii="Arial" w:hAnsi="Arial"/>
      <w:color w:val="000000"/>
      <w:sz w:val="24"/>
      <w:szCs w:val="24"/>
      <w:lang w:eastAsia="en-US"/>
    </w:rPr>
  </w:style>
  <w:style w:type="character" w:customStyle="1" w:styleId="Firstpagetablebold">
    <w:name w:val="First page table: bold"/>
    <w:qFormat/>
    <w:rsid w:val="007005E3"/>
    <w:rPr>
      <w:rFonts w:ascii="Arial" w:hAnsi="Arial"/>
      <w:b/>
      <w:sz w:val="24"/>
    </w:rPr>
  </w:style>
  <w:style w:type="character" w:customStyle="1" w:styleId="HeaderChar">
    <w:name w:val="Header Char"/>
    <w:basedOn w:val="DefaultParagraphFont"/>
    <w:link w:val="Header"/>
    <w:rsid w:val="00F92097"/>
    <w:rPr>
      <w:rFonts w:ascii="Arial" w:hAnsi="Arial"/>
      <w:sz w:val="24"/>
      <w:szCs w:val="24"/>
      <w:lang w:eastAsia="en-US"/>
    </w:rPr>
  </w:style>
  <w:style w:type="paragraph" w:customStyle="1" w:styleId="Normal2">
    <w:name w:val="Normal+2"/>
    <w:basedOn w:val="Normal"/>
    <w:next w:val="Normal"/>
    <w:rsid w:val="00F92097"/>
    <w:pPr>
      <w:autoSpaceDE w:val="0"/>
      <w:autoSpaceDN w:val="0"/>
      <w:adjustRightInd w:val="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835">
      <w:bodyDiv w:val="1"/>
      <w:marLeft w:val="0"/>
      <w:marRight w:val="0"/>
      <w:marTop w:val="0"/>
      <w:marBottom w:val="0"/>
      <w:divBdr>
        <w:top w:val="none" w:sz="0" w:space="0" w:color="auto"/>
        <w:left w:val="none" w:sz="0" w:space="0" w:color="auto"/>
        <w:bottom w:val="none" w:sz="0" w:space="0" w:color="auto"/>
        <w:right w:val="none" w:sz="0" w:space="0" w:color="auto"/>
      </w:divBdr>
    </w:div>
    <w:div w:id="74401817">
      <w:bodyDiv w:val="1"/>
      <w:marLeft w:val="0"/>
      <w:marRight w:val="0"/>
      <w:marTop w:val="0"/>
      <w:marBottom w:val="0"/>
      <w:divBdr>
        <w:top w:val="none" w:sz="0" w:space="0" w:color="auto"/>
        <w:left w:val="none" w:sz="0" w:space="0" w:color="auto"/>
        <w:bottom w:val="none" w:sz="0" w:space="0" w:color="auto"/>
        <w:right w:val="none" w:sz="0" w:space="0" w:color="auto"/>
      </w:divBdr>
    </w:div>
    <w:div w:id="76904608">
      <w:bodyDiv w:val="1"/>
      <w:marLeft w:val="0"/>
      <w:marRight w:val="0"/>
      <w:marTop w:val="0"/>
      <w:marBottom w:val="0"/>
      <w:divBdr>
        <w:top w:val="none" w:sz="0" w:space="0" w:color="auto"/>
        <w:left w:val="none" w:sz="0" w:space="0" w:color="auto"/>
        <w:bottom w:val="none" w:sz="0" w:space="0" w:color="auto"/>
        <w:right w:val="none" w:sz="0" w:space="0" w:color="auto"/>
      </w:divBdr>
    </w:div>
    <w:div w:id="108790284">
      <w:bodyDiv w:val="1"/>
      <w:marLeft w:val="0"/>
      <w:marRight w:val="0"/>
      <w:marTop w:val="0"/>
      <w:marBottom w:val="0"/>
      <w:divBdr>
        <w:top w:val="none" w:sz="0" w:space="0" w:color="auto"/>
        <w:left w:val="none" w:sz="0" w:space="0" w:color="auto"/>
        <w:bottom w:val="none" w:sz="0" w:space="0" w:color="auto"/>
        <w:right w:val="none" w:sz="0" w:space="0" w:color="auto"/>
      </w:divBdr>
    </w:div>
    <w:div w:id="115566385">
      <w:bodyDiv w:val="1"/>
      <w:marLeft w:val="0"/>
      <w:marRight w:val="0"/>
      <w:marTop w:val="0"/>
      <w:marBottom w:val="0"/>
      <w:divBdr>
        <w:top w:val="none" w:sz="0" w:space="0" w:color="auto"/>
        <w:left w:val="none" w:sz="0" w:space="0" w:color="auto"/>
        <w:bottom w:val="none" w:sz="0" w:space="0" w:color="auto"/>
        <w:right w:val="none" w:sz="0" w:space="0" w:color="auto"/>
      </w:divBdr>
    </w:div>
    <w:div w:id="243342648">
      <w:bodyDiv w:val="1"/>
      <w:marLeft w:val="0"/>
      <w:marRight w:val="0"/>
      <w:marTop w:val="0"/>
      <w:marBottom w:val="0"/>
      <w:divBdr>
        <w:top w:val="none" w:sz="0" w:space="0" w:color="auto"/>
        <w:left w:val="none" w:sz="0" w:space="0" w:color="auto"/>
        <w:bottom w:val="none" w:sz="0" w:space="0" w:color="auto"/>
        <w:right w:val="none" w:sz="0" w:space="0" w:color="auto"/>
      </w:divBdr>
    </w:div>
    <w:div w:id="296421434">
      <w:bodyDiv w:val="1"/>
      <w:marLeft w:val="0"/>
      <w:marRight w:val="0"/>
      <w:marTop w:val="0"/>
      <w:marBottom w:val="0"/>
      <w:divBdr>
        <w:top w:val="none" w:sz="0" w:space="0" w:color="auto"/>
        <w:left w:val="none" w:sz="0" w:space="0" w:color="auto"/>
        <w:bottom w:val="none" w:sz="0" w:space="0" w:color="auto"/>
        <w:right w:val="none" w:sz="0" w:space="0" w:color="auto"/>
      </w:divBdr>
    </w:div>
    <w:div w:id="411464923">
      <w:bodyDiv w:val="1"/>
      <w:marLeft w:val="0"/>
      <w:marRight w:val="0"/>
      <w:marTop w:val="0"/>
      <w:marBottom w:val="0"/>
      <w:divBdr>
        <w:top w:val="none" w:sz="0" w:space="0" w:color="auto"/>
        <w:left w:val="none" w:sz="0" w:space="0" w:color="auto"/>
        <w:bottom w:val="none" w:sz="0" w:space="0" w:color="auto"/>
        <w:right w:val="none" w:sz="0" w:space="0" w:color="auto"/>
      </w:divBdr>
    </w:div>
    <w:div w:id="430978167">
      <w:bodyDiv w:val="1"/>
      <w:marLeft w:val="0"/>
      <w:marRight w:val="0"/>
      <w:marTop w:val="0"/>
      <w:marBottom w:val="0"/>
      <w:divBdr>
        <w:top w:val="none" w:sz="0" w:space="0" w:color="auto"/>
        <w:left w:val="none" w:sz="0" w:space="0" w:color="auto"/>
        <w:bottom w:val="none" w:sz="0" w:space="0" w:color="auto"/>
        <w:right w:val="none" w:sz="0" w:space="0" w:color="auto"/>
      </w:divBdr>
    </w:div>
    <w:div w:id="461775636">
      <w:bodyDiv w:val="1"/>
      <w:marLeft w:val="0"/>
      <w:marRight w:val="0"/>
      <w:marTop w:val="0"/>
      <w:marBottom w:val="0"/>
      <w:divBdr>
        <w:top w:val="none" w:sz="0" w:space="0" w:color="auto"/>
        <w:left w:val="none" w:sz="0" w:space="0" w:color="auto"/>
        <w:bottom w:val="none" w:sz="0" w:space="0" w:color="auto"/>
        <w:right w:val="none" w:sz="0" w:space="0" w:color="auto"/>
      </w:divBdr>
    </w:div>
    <w:div w:id="477234627">
      <w:bodyDiv w:val="1"/>
      <w:marLeft w:val="0"/>
      <w:marRight w:val="0"/>
      <w:marTop w:val="0"/>
      <w:marBottom w:val="0"/>
      <w:divBdr>
        <w:top w:val="none" w:sz="0" w:space="0" w:color="auto"/>
        <w:left w:val="none" w:sz="0" w:space="0" w:color="auto"/>
        <w:bottom w:val="none" w:sz="0" w:space="0" w:color="auto"/>
        <w:right w:val="none" w:sz="0" w:space="0" w:color="auto"/>
      </w:divBdr>
    </w:div>
    <w:div w:id="602110395">
      <w:bodyDiv w:val="1"/>
      <w:marLeft w:val="0"/>
      <w:marRight w:val="0"/>
      <w:marTop w:val="0"/>
      <w:marBottom w:val="0"/>
      <w:divBdr>
        <w:top w:val="none" w:sz="0" w:space="0" w:color="auto"/>
        <w:left w:val="none" w:sz="0" w:space="0" w:color="auto"/>
        <w:bottom w:val="none" w:sz="0" w:space="0" w:color="auto"/>
        <w:right w:val="none" w:sz="0" w:space="0" w:color="auto"/>
      </w:divBdr>
    </w:div>
    <w:div w:id="603923081">
      <w:bodyDiv w:val="1"/>
      <w:marLeft w:val="0"/>
      <w:marRight w:val="0"/>
      <w:marTop w:val="0"/>
      <w:marBottom w:val="0"/>
      <w:divBdr>
        <w:top w:val="none" w:sz="0" w:space="0" w:color="auto"/>
        <w:left w:val="none" w:sz="0" w:space="0" w:color="auto"/>
        <w:bottom w:val="none" w:sz="0" w:space="0" w:color="auto"/>
        <w:right w:val="none" w:sz="0" w:space="0" w:color="auto"/>
      </w:divBdr>
    </w:div>
    <w:div w:id="619533820">
      <w:bodyDiv w:val="1"/>
      <w:marLeft w:val="0"/>
      <w:marRight w:val="0"/>
      <w:marTop w:val="0"/>
      <w:marBottom w:val="0"/>
      <w:divBdr>
        <w:top w:val="none" w:sz="0" w:space="0" w:color="auto"/>
        <w:left w:val="none" w:sz="0" w:space="0" w:color="auto"/>
        <w:bottom w:val="none" w:sz="0" w:space="0" w:color="auto"/>
        <w:right w:val="none" w:sz="0" w:space="0" w:color="auto"/>
      </w:divBdr>
    </w:div>
    <w:div w:id="704136802">
      <w:bodyDiv w:val="1"/>
      <w:marLeft w:val="0"/>
      <w:marRight w:val="0"/>
      <w:marTop w:val="0"/>
      <w:marBottom w:val="0"/>
      <w:divBdr>
        <w:top w:val="none" w:sz="0" w:space="0" w:color="auto"/>
        <w:left w:val="none" w:sz="0" w:space="0" w:color="auto"/>
        <w:bottom w:val="none" w:sz="0" w:space="0" w:color="auto"/>
        <w:right w:val="none" w:sz="0" w:space="0" w:color="auto"/>
      </w:divBdr>
    </w:div>
    <w:div w:id="738210263">
      <w:bodyDiv w:val="1"/>
      <w:marLeft w:val="0"/>
      <w:marRight w:val="0"/>
      <w:marTop w:val="0"/>
      <w:marBottom w:val="0"/>
      <w:divBdr>
        <w:top w:val="none" w:sz="0" w:space="0" w:color="auto"/>
        <w:left w:val="none" w:sz="0" w:space="0" w:color="auto"/>
        <w:bottom w:val="none" w:sz="0" w:space="0" w:color="auto"/>
        <w:right w:val="none" w:sz="0" w:space="0" w:color="auto"/>
      </w:divBdr>
    </w:div>
    <w:div w:id="824467271">
      <w:bodyDiv w:val="1"/>
      <w:marLeft w:val="0"/>
      <w:marRight w:val="0"/>
      <w:marTop w:val="0"/>
      <w:marBottom w:val="0"/>
      <w:divBdr>
        <w:top w:val="none" w:sz="0" w:space="0" w:color="auto"/>
        <w:left w:val="none" w:sz="0" w:space="0" w:color="auto"/>
        <w:bottom w:val="none" w:sz="0" w:space="0" w:color="auto"/>
        <w:right w:val="none" w:sz="0" w:space="0" w:color="auto"/>
      </w:divBdr>
    </w:div>
    <w:div w:id="833765380">
      <w:bodyDiv w:val="1"/>
      <w:marLeft w:val="0"/>
      <w:marRight w:val="0"/>
      <w:marTop w:val="0"/>
      <w:marBottom w:val="0"/>
      <w:divBdr>
        <w:top w:val="none" w:sz="0" w:space="0" w:color="auto"/>
        <w:left w:val="none" w:sz="0" w:space="0" w:color="auto"/>
        <w:bottom w:val="none" w:sz="0" w:space="0" w:color="auto"/>
        <w:right w:val="none" w:sz="0" w:space="0" w:color="auto"/>
      </w:divBdr>
    </w:div>
    <w:div w:id="982153628">
      <w:bodyDiv w:val="1"/>
      <w:marLeft w:val="0"/>
      <w:marRight w:val="0"/>
      <w:marTop w:val="0"/>
      <w:marBottom w:val="0"/>
      <w:divBdr>
        <w:top w:val="none" w:sz="0" w:space="0" w:color="auto"/>
        <w:left w:val="none" w:sz="0" w:space="0" w:color="auto"/>
        <w:bottom w:val="none" w:sz="0" w:space="0" w:color="auto"/>
        <w:right w:val="none" w:sz="0" w:space="0" w:color="auto"/>
      </w:divBdr>
    </w:div>
    <w:div w:id="993686232">
      <w:bodyDiv w:val="1"/>
      <w:marLeft w:val="0"/>
      <w:marRight w:val="0"/>
      <w:marTop w:val="0"/>
      <w:marBottom w:val="0"/>
      <w:divBdr>
        <w:top w:val="none" w:sz="0" w:space="0" w:color="auto"/>
        <w:left w:val="none" w:sz="0" w:space="0" w:color="auto"/>
        <w:bottom w:val="none" w:sz="0" w:space="0" w:color="auto"/>
        <w:right w:val="none" w:sz="0" w:space="0" w:color="auto"/>
      </w:divBdr>
    </w:div>
    <w:div w:id="1076976607">
      <w:bodyDiv w:val="1"/>
      <w:marLeft w:val="0"/>
      <w:marRight w:val="0"/>
      <w:marTop w:val="0"/>
      <w:marBottom w:val="0"/>
      <w:divBdr>
        <w:top w:val="none" w:sz="0" w:space="0" w:color="auto"/>
        <w:left w:val="none" w:sz="0" w:space="0" w:color="auto"/>
        <w:bottom w:val="none" w:sz="0" w:space="0" w:color="auto"/>
        <w:right w:val="none" w:sz="0" w:space="0" w:color="auto"/>
      </w:divBdr>
    </w:div>
    <w:div w:id="1146119655">
      <w:bodyDiv w:val="1"/>
      <w:marLeft w:val="0"/>
      <w:marRight w:val="0"/>
      <w:marTop w:val="0"/>
      <w:marBottom w:val="0"/>
      <w:divBdr>
        <w:top w:val="none" w:sz="0" w:space="0" w:color="auto"/>
        <w:left w:val="none" w:sz="0" w:space="0" w:color="auto"/>
        <w:bottom w:val="none" w:sz="0" w:space="0" w:color="auto"/>
        <w:right w:val="none" w:sz="0" w:space="0" w:color="auto"/>
      </w:divBdr>
    </w:div>
    <w:div w:id="1184780983">
      <w:bodyDiv w:val="1"/>
      <w:marLeft w:val="0"/>
      <w:marRight w:val="0"/>
      <w:marTop w:val="0"/>
      <w:marBottom w:val="0"/>
      <w:divBdr>
        <w:top w:val="none" w:sz="0" w:space="0" w:color="auto"/>
        <w:left w:val="none" w:sz="0" w:space="0" w:color="auto"/>
        <w:bottom w:val="none" w:sz="0" w:space="0" w:color="auto"/>
        <w:right w:val="none" w:sz="0" w:space="0" w:color="auto"/>
      </w:divBdr>
    </w:div>
    <w:div w:id="1196848787">
      <w:bodyDiv w:val="1"/>
      <w:marLeft w:val="0"/>
      <w:marRight w:val="0"/>
      <w:marTop w:val="0"/>
      <w:marBottom w:val="0"/>
      <w:divBdr>
        <w:top w:val="none" w:sz="0" w:space="0" w:color="auto"/>
        <w:left w:val="none" w:sz="0" w:space="0" w:color="auto"/>
        <w:bottom w:val="none" w:sz="0" w:space="0" w:color="auto"/>
        <w:right w:val="none" w:sz="0" w:space="0" w:color="auto"/>
      </w:divBdr>
    </w:div>
    <w:div w:id="1242788103">
      <w:bodyDiv w:val="1"/>
      <w:marLeft w:val="0"/>
      <w:marRight w:val="0"/>
      <w:marTop w:val="0"/>
      <w:marBottom w:val="0"/>
      <w:divBdr>
        <w:top w:val="none" w:sz="0" w:space="0" w:color="auto"/>
        <w:left w:val="none" w:sz="0" w:space="0" w:color="auto"/>
        <w:bottom w:val="none" w:sz="0" w:space="0" w:color="auto"/>
        <w:right w:val="none" w:sz="0" w:space="0" w:color="auto"/>
      </w:divBdr>
    </w:div>
    <w:div w:id="1328704943">
      <w:bodyDiv w:val="1"/>
      <w:marLeft w:val="0"/>
      <w:marRight w:val="0"/>
      <w:marTop w:val="0"/>
      <w:marBottom w:val="0"/>
      <w:divBdr>
        <w:top w:val="none" w:sz="0" w:space="0" w:color="auto"/>
        <w:left w:val="none" w:sz="0" w:space="0" w:color="auto"/>
        <w:bottom w:val="none" w:sz="0" w:space="0" w:color="auto"/>
        <w:right w:val="none" w:sz="0" w:space="0" w:color="auto"/>
      </w:divBdr>
    </w:div>
    <w:div w:id="1605963009">
      <w:bodyDiv w:val="1"/>
      <w:marLeft w:val="0"/>
      <w:marRight w:val="0"/>
      <w:marTop w:val="0"/>
      <w:marBottom w:val="0"/>
      <w:divBdr>
        <w:top w:val="none" w:sz="0" w:space="0" w:color="auto"/>
        <w:left w:val="none" w:sz="0" w:space="0" w:color="auto"/>
        <w:bottom w:val="none" w:sz="0" w:space="0" w:color="auto"/>
        <w:right w:val="none" w:sz="0" w:space="0" w:color="auto"/>
      </w:divBdr>
    </w:div>
    <w:div w:id="1708990189">
      <w:bodyDiv w:val="1"/>
      <w:marLeft w:val="0"/>
      <w:marRight w:val="0"/>
      <w:marTop w:val="0"/>
      <w:marBottom w:val="0"/>
      <w:divBdr>
        <w:top w:val="none" w:sz="0" w:space="0" w:color="auto"/>
        <w:left w:val="none" w:sz="0" w:space="0" w:color="auto"/>
        <w:bottom w:val="none" w:sz="0" w:space="0" w:color="auto"/>
        <w:right w:val="none" w:sz="0" w:space="0" w:color="auto"/>
      </w:divBdr>
    </w:div>
    <w:div w:id="1712684762">
      <w:bodyDiv w:val="1"/>
      <w:marLeft w:val="0"/>
      <w:marRight w:val="0"/>
      <w:marTop w:val="0"/>
      <w:marBottom w:val="0"/>
      <w:divBdr>
        <w:top w:val="none" w:sz="0" w:space="0" w:color="auto"/>
        <w:left w:val="none" w:sz="0" w:space="0" w:color="auto"/>
        <w:bottom w:val="none" w:sz="0" w:space="0" w:color="auto"/>
        <w:right w:val="none" w:sz="0" w:space="0" w:color="auto"/>
      </w:divBdr>
    </w:div>
    <w:div w:id="1766263702">
      <w:bodyDiv w:val="1"/>
      <w:marLeft w:val="0"/>
      <w:marRight w:val="0"/>
      <w:marTop w:val="0"/>
      <w:marBottom w:val="0"/>
      <w:divBdr>
        <w:top w:val="none" w:sz="0" w:space="0" w:color="auto"/>
        <w:left w:val="none" w:sz="0" w:space="0" w:color="auto"/>
        <w:bottom w:val="none" w:sz="0" w:space="0" w:color="auto"/>
        <w:right w:val="none" w:sz="0" w:space="0" w:color="auto"/>
      </w:divBdr>
    </w:div>
    <w:div w:id="1813212691">
      <w:bodyDiv w:val="1"/>
      <w:marLeft w:val="0"/>
      <w:marRight w:val="0"/>
      <w:marTop w:val="0"/>
      <w:marBottom w:val="0"/>
      <w:divBdr>
        <w:top w:val="none" w:sz="0" w:space="0" w:color="auto"/>
        <w:left w:val="none" w:sz="0" w:space="0" w:color="auto"/>
        <w:bottom w:val="none" w:sz="0" w:space="0" w:color="auto"/>
        <w:right w:val="none" w:sz="0" w:space="0" w:color="auto"/>
      </w:divBdr>
    </w:div>
    <w:div w:id="1885018404">
      <w:bodyDiv w:val="1"/>
      <w:marLeft w:val="0"/>
      <w:marRight w:val="0"/>
      <w:marTop w:val="0"/>
      <w:marBottom w:val="0"/>
      <w:divBdr>
        <w:top w:val="none" w:sz="0" w:space="0" w:color="auto"/>
        <w:left w:val="none" w:sz="0" w:space="0" w:color="auto"/>
        <w:bottom w:val="none" w:sz="0" w:space="0" w:color="auto"/>
        <w:right w:val="none" w:sz="0" w:space="0" w:color="auto"/>
      </w:divBdr>
    </w:div>
    <w:div w:id="1977684605">
      <w:bodyDiv w:val="1"/>
      <w:marLeft w:val="0"/>
      <w:marRight w:val="0"/>
      <w:marTop w:val="0"/>
      <w:marBottom w:val="0"/>
      <w:divBdr>
        <w:top w:val="none" w:sz="0" w:space="0" w:color="auto"/>
        <w:left w:val="none" w:sz="0" w:space="0" w:color="auto"/>
        <w:bottom w:val="none" w:sz="0" w:space="0" w:color="auto"/>
        <w:right w:val="none" w:sz="0" w:space="0" w:color="auto"/>
      </w:divBdr>
    </w:div>
    <w:div w:id="2044860311">
      <w:bodyDiv w:val="1"/>
      <w:marLeft w:val="0"/>
      <w:marRight w:val="0"/>
      <w:marTop w:val="0"/>
      <w:marBottom w:val="0"/>
      <w:divBdr>
        <w:top w:val="none" w:sz="0" w:space="0" w:color="auto"/>
        <w:left w:val="none" w:sz="0" w:space="0" w:color="auto"/>
        <w:bottom w:val="none" w:sz="0" w:space="0" w:color="auto"/>
        <w:right w:val="none" w:sz="0" w:space="0" w:color="auto"/>
      </w:divBdr>
    </w:div>
    <w:div w:id="2062633965">
      <w:bodyDiv w:val="1"/>
      <w:marLeft w:val="0"/>
      <w:marRight w:val="0"/>
      <w:marTop w:val="0"/>
      <w:marBottom w:val="0"/>
      <w:divBdr>
        <w:top w:val="none" w:sz="0" w:space="0" w:color="auto"/>
        <w:left w:val="none" w:sz="0" w:space="0" w:color="auto"/>
        <w:bottom w:val="none" w:sz="0" w:space="0" w:color="auto"/>
        <w:right w:val="none" w:sz="0" w:space="0" w:color="auto"/>
      </w:divBdr>
    </w:div>
    <w:div w:id="21209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Welfare_Reform_Act_201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5AE0-C6EA-43FC-8C8B-FD520152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D403BFE3</Template>
  <TotalTime>6</TotalTime>
  <Pages>6</Pages>
  <Words>2400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14912</CharactersWithSpaces>
  <SharedDoc>false</SharedDoc>
  <HLinks>
    <vt:vector size="6" baseType="variant">
      <vt:variant>
        <vt:i4>7471198</vt:i4>
      </vt:variant>
      <vt:variant>
        <vt:i4>0</vt:i4>
      </vt:variant>
      <vt:variant>
        <vt:i4>0</vt:i4>
      </vt:variant>
      <vt:variant>
        <vt:i4>5</vt:i4>
      </vt:variant>
      <vt:variant>
        <vt:lpwstr>https://en.wikipedia.org/wiki/Welfare_Reform_Act_2012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jbaughan</dc:creator>
  <cp:lastModifiedBy>JMitchell</cp:lastModifiedBy>
  <cp:revision>6</cp:revision>
  <cp:lastPrinted>2019-09-23T09:59:00Z</cp:lastPrinted>
  <dcterms:created xsi:type="dcterms:W3CDTF">2019-09-23T10:09:00Z</dcterms:created>
  <dcterms:modified xsi:type="dcterms:W3CDTF">2019-09-23T14:38:00Z</dcterms:modified>
</cp:coreProperties>
</file>